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4AC55D02" w:rsidR="00280DD1" w:rsidRDefault="00BC269C" w:rsidP="00280DD1">
      <w:pPr>
        <w:pStyle w:val="3GPPHeader"/>
        <w:spacing w:after="60"/>
        <w:rPr>
          <w:sz w:val="32"/>
          <w:szCs w:val="32"/>
          <w:highlight w:val="yellow"/>
        </w:rPr>
      </w:pPr>
      <w:r w:rsidRPr="00DE3FC8">
        <w:rPr>
          <w:lang w:val="en-US"/>
        </w:rPr>
        <w:t>3GPP TSG-RAN WG2 #10</w:t>
      </w:r>
      <w:r>
        <w:rPr>
          <w:lang w:val="en-US"/>
        </w:rPr>
        <w:t>4</w:t>
      </w:r>
      <w:r w:rsidR="00280DD1">
        <w:tab/>
      </w:r>
      <w:proofErr w:type="spellStart"/>
      <w:r w:rsidR="00280DD1">
        <w:rPr>
          <w:sz w:val="32"/>
          <w:szCs w:val="32"/>
        </w:rPr>
        <w:t>Tdoc</w:t>
      </w:r>
      <w:proofErr w:type="spellEnd"/>
      <w:r w:rsidR="00280DD1">
        <w:rPr>
          <w:sz w:val="32"/>
          <w:szCs w:val="32"/>
        </w:rPr>
        <w:t xml:space="preserve"> </w:t>
      </w:r>
      <w:r w:rsidR="00E62955" w:rsidRPr="00E62955">
        <w:rPr>
          <w:sz w:val="32"/>
          <w:szCs w:val="32"/>
        </w:rPr>
        <w:t>R2-1817752</w:t>
      </w:r>
      <w:bookmarkStart w:id="0" w:name="_GoBack"/>
      <w:bookmarkEnd w:id="0"/>
    </w:p>
    <w:p w14:paraId="63B03AD2" w14:textId="7E5F375B" w:rsidR="00E90E49" w:rsidRDefault="00BC269C" w:rsidP="00357380">
      <w:pPr>
        <w:pStyle w:val="3GPPHeader"/>
        <w:rPr>
          <w:noProof/>
        </w:rPr>
      </w:pPr>
      <w:r>
        <w:rPr>
          <w:noProof/>
        </w:rPr>
        <w:t>Spokane, US, 12</w:t>
      </w:r>
      <w:r w:rsidRPr="00A2670F">
        <w:rPr>
          <w:noProof/>
          <w:vertAlign w:val="superscript"/>
        </w:rPr>
        <w:t>th</w:t>
      </w:r>
      <w:r>
        <w:rPr>
          <w:noProof/>
          <w:vertAlign w:val="superscript"/>
        </w:rPr>
        <w:t xml:space="preserve"> </w:t>
      </w:r>
      <w:r>
        <w:rPr>
          <w:noProof/>
        </w:rPr>
        <w:t>– 16</w:t>
      </w:r>
      <w:r w:rsidRPr="000F7CA3">
        <w:rPr>
          <w:noProof/>
          <w:vertAlign w:val="superscript"/>
        </w:rPr>
        <w:t>th</w:t>
      </w:r>
      <w:r>
        <w:rPr>
          <w:noProof/>
        </w:rPr>
        <w:t xml:space="preserve"> November 2018</w:t>
      </w:r>
    </w:p>
    <w:p w14:paraId="25DB88AF" w14:textId="77777777" w:rsidR="00BC269C" w:rsidRPr="00CE0424" w:rsidRDefault="00BC269C" w:rsidP="00357380">
      <w:pPr>
        <w:pStyle w:val="3GPPHeader"/>
      </w:pPr>
    </w:p>
    <w:p w14:paraId="7ACD7EB9" w14:textId="10BDCA83" w:rsidR="00E90E49" w:rsidRPr="00930A45" w:rsidRDefault="00E90E49" w:rsidP="00311702">
      <w:pPr>
        <w:pStyle w:val="3GPPHeader"/>
        <w:rPr>
          <w:sz w:val="22"/>
          <w:szCs w:val="22"/>
          <w:lang w:val="en-US"/>
        </w:rPr>
      </w:pPr>
      <w:r w:rsidRPr="00930A45">
        <w:rPr>
          <w:sz w:val="22"/>
          <w:szCs w:val="22"/>
          <w:lang w:val="en-US"/>
        </w:rPr>
        <w:t>Agenda Item:</w:t>
      </w:r>
      <w:r w:rsidRPr="00930A45">
        <w:rPr>
          <w:sz w:val="22"/>
          <w:szCs w:val="22"/>
          <w:lang w:val="en-US"/>
        </w:rPr>
        <w:tab/>
      </w:r>
      <w:r w:rsidR="00C57BFE" w:rsidRPr="00930A45">
        <w:rPr>
          <w:sz w:val="22"/>
          <w:szCs w:val="22"/>
          <w:lang w:val="en-US"/>
        </w:rPr>
        <w:t>11.6.4.1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0667D61B" w:rsidR="00E90E49" w:rsidRPr="00B07558" w:rsidRDefault="003D3C45" w:rsidP="00311702">
      <w:pPr>
        <w:pStyle w:val="3GPPHeader"/>
        <w:rPr>
          <w:sz w:val="22"/>
          <w:szCs w:val="22"/>
        </w:rPr>
      </w:pPr>
      <w:r>
        <w:rPr>
          <w:sz w:val="22"/>
          <w:szCs w:val="22"/>
        </w:rPr>
        <w:t>Title:</w:t>
      </w:r>
      <w:r w:rsidR="00E90E49" w:rsidRPr="00CE0424">
        <w:rPr>
          <w:sz w:val="22"/>
          <w:szCs w:val="22"/>
        </w:rPr>
        <w:tab/>
      </w:r>
      <w:r w:rsidR="00B07558" w:rsidRPr="00B07558">
        <w:rPr>
          <w:sz w:val="22"/>
          <w:szCs w:val="22"/>
        </w:rPr>
        <w:t>Mobility aspects for NTN</w:t>
      </w:r>
    </w:p>
    <w:p w14:paraId="58731019" w14:textId="77777777" w:rsidR="00E90E49" w:rsidRDefault="00E90E49" w:rsidP="00D546FF">
      <w:pPr>
        <w:pStyle w:val="3GPPHeader"/>
        <w:rPr>
          <w:sz w:val="22"/>
          <w:szCs w:val="22"/>
        </w:rPr>
      </w:pPr>
      <w:r w:rsidRPr="00B07558">
        <w:rPr>
          <w:sz w:val="22"/>
          <w:szCs w:val="22"/>
        </w:rPr>
        <w:t>Document for:</w:t>
      </w:r>
      <w:r w:rsidRPr="00B07558">
        <w:rPr>
          <w:sz w:val="22"/>
          <w:szCs w:val="22"/>
        </w:rPr>
        <w:tab/>
        <w:t>Discussion, Decision</w:t>
      </w:r>
    </w:p>
    <w:p w14:paraId="5BE30A7B" w14:textId="77777777" w:rsidR="00C24345" w:rsidRDefault="00E90E49" w:rsidP="00A2052C">
      <w:pPr>
        <w:pStyle w:val="Heading1"/>
      </w:pPr>
      <w:r w:rsidRPr="00CE0424">
        <w:t>Introduction</w:t>
      </w:r>
    </w:p>
    <w:p w14:paraId="63709C93" w14:textId="77777777" w:rsidR="00B840E6" w:rsidRDefault="00BC269C" w:rsidP="00B840E6">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r w:rsidR="00B840E6">
        <w:rPr>
          <w:rFonts w:eastAsia="PMingLiU"/>
          <w:lang w:eastAsia="zh-TW"/>
        </w:rPr>
        <w:t>The objectives for layer 2 and above are</w:t>
      </w:r>
      <w:r w:rsidR="00B840E6">
        <w:t>:</w:t>
      </w:r>
    </w:p>
    <w:tbl>
      <w:tblPr>
        <w:tblStyle w:val="TableGrid"/>
        <w:tblW w:w="0" w:type="auto"/>
        <w:tblLook w:val="04A0" w:firstRow="1" w:lastRow="0" w:firstColumn="1" w:lastColumn="0" w:noHBand="0" w:noVBand="1"/>
      </w:tblPr>
      <w:tblGrid>
        <w:gridCol w:w="9629"/>
      </w:tblGrid>
      <w:tr w:rsidR="00B840E6" w14:paraId="558B4A41" w14:textId="77777777" w:rsidTr="00502C3F">
        <w:tc>
          <w:tcPr>
            <w:tcW w:w="9629" w:type="dxa"/>
          </w:tcPr>
          <w:p w14:paraId="7233AD88" w14:textId="77777777" w:rsidR="00B840E6" w:rsidRPr="00682785" w:rsidRDefault="00B840E6" w:rsidP="00502C3F">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43953D75" w14:textId="77777777" w:rsidR="00B840E6" w:rsidRDefault="00B840E6" w:rsidP="00502C3F">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F637F81" w14:textId="77777777" w:rsidR="00B840E6" w:rsidRPr="00CB6332" w:rsidRDefault="00B840E6" w:rsidP="00502C3F">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371F5513" w14:textId="77777777" w:rsidR="00B840E6" w:rsidRPr="00CB6332" w:rsidRDefault="00B840E6" w:rsidP="00502C3F">
            <w:pPr>
              <w:numPr>
                <w:ilvl w:val="1"/>
                <w:numId w:val="16"/>
              </w:numPr>
              <w:spacing w:after="0"/>
              <w:jc w:val="left"/>
              <w:rPr>
                <w:bCs/>
              </w:rPr>
            </w:pPr>
            <w:r>
              <w:t>Paging: procedure adaptations in case of moving satellite foot prints or cells</w:t>
            </w:r>
          </w:p>
          <w:p w14:paraId="480F923E" w14:textId="77777777" w:rsidR="00B840E6" w:rsidRPr="005939C5" w:rsidRDefault="00B840E6" w:rsidP="00502C3F">
            <w:pPr>
              <w:spacing w:after="0"/>
            </w:pPr>
          </w:p>
          <w:p w14:paraId="186A3449" w14:textId="77777777" w:rsidR="00B840E6" w:rsidRDefault="00B840E6" w:rsidP="00502C3F">
            <w:pPr>
              <w:spacing w:after="0"/>
            </w:pPr>
            <w:r w:rsidRPr="003645B1">
              <w:t>Note</w:t>
            </w:r>
            <w:r>
              <w:t>:</w:t>
            </w:r>
          </w:p>
          <w:p w14:paraId="3D648D3E" w14:textId="77777777" w:rsidR="00B840E6" w:rsidRPr="00B235F8" w:rsidRDefault="00B840E6" w:rsidP="00502C3F">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5BAC8B6F" w14:textId="77777777" w:rsidR="00B840E6" w:rsidRDefault="00B840E6" w:rsidP="00B840E6"/>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756771EA" w14:textId="77777777" w:rsidR="00BC269C" w:rsidRDefault="00BC269C" w:rsidP="00BC269C">
      <w:pPr>
        <w:rPr>
          <w:rFonts w:eastAsia="PMingLiU"/>
          <w:lang w:eastAsia="zh-TW"/>
        </w:rPr>
      </w:pPr>
    </w:p>
    <w:p w14:paraId="3016025A" w14:textId="47E98CE7" w:rsidR="00A2052C" w:rsidRPr="00A2052C" w:rsidRDefault="00BC269C" w:rsidP="00CC3ECB">
      <w:pPr>
        <w:spacing w:after="0"/>
      </w:pPr>
      <w:r>
        <w:t xml:space="preserve">In this paper, </w:t>
      </w:r>
      <w:r w:rsidR="00CC3ECB">
        <w:t>we initiate mobility related discussions for NTN NR.</w:t>
      </w:r>
    </w:p>
    <w:p w14:paraId="09C064E6" w14:textId="77777777" w:rsidR="006C2DB3" w:rsidRDefault="006C2DB3" w:rsidP="006C2DB3">
      <w:pPr>
        <w:pStyle w:val="Heading1"/>
      </w:pPr>
      <w:r>
        <w:lastRenderedPageBreak/>
        <w:t>Background</w:t>
      </w:r>
    </w:p>
    <w:p w14:paraId="4B3E4A02" w14:textId="77777777" w:rsidR="006C2DB3" w:rsidRPr="003D3ABD" w:rsidRDefault="006C2DB3" w:rsidP="006C2DB3">
      <w:pPr>
        <w:pStyle w:val="Heading2"/>
      </w:pPr>
      <w:r>
        <w:t>NR mobility procedure</w:t>
      </w:r>
    </w:p>
    <w:p w14:paraId="2FAA1318" w14:textId="77777777" w:rsidR="006C2DB3" w:rsidRPr="00042BED" w:rsidRDefault="006C2DB3" w:rsidP="006C2DB3">
      <w:r>
        <w:t>NR mobility procedure is described in</w:t>
      </w:r>
      <w:r w:rsidRPr="00042BED">
        <w:t xml:space="preserve"> 38.300</w:t>
      </w:r>
      <w:r>
        <w:t xml:space="preserve"> as follows</w:t>
      </w:r>
    </w:p>
    <w:p w14:paraId="2AAB5224" w14:textId="77777777" w:rsidR="006C2DB3" w:rsidRPr="002367CB" w:rsidRDefault="006C2DB3" w:rsidP="006C2DB3">
      <w:pPr>
        <w:keepNext/>
        <w:keepLines/>
        <w:spacing w:before="120" w:after="180"/>
        <w:jc w:val="left"/>
        <w:textAlignment w:val="auto"/>
        <w:outlineLvl w:val="3"/>
        <w:rPr>
          <w:sz w:val="24"/>
          <w:lang w:eastAsia="ja-JP"/>
        </w:rPr>
      </w:pPr>
      <w:bookmarkStart w:id="1" w:name="_Toc517229149"/>
      <w:r w:rsidRPr="002367CB">
        <w:rPr>
          <w:sz w:val="24"/>
          <w:lang w:eastAsia="ja-JP"/>
        </w:rPr>
        <w:t>9.2.3.1</w:t>
      </w:r>
      <w:r w:rsidRPr="002367CB">
        <w:rPr>
          <w:sz w:val="24"/>
          <w:lang w:eastAsia="ja-JP"/>
        </w:rPr>
        <w:tab/>
        <w:t>Overview</w:t>
      </w:r>
      <w:bookmarkEnd w:id="1"/>
    </w:p>
    <w:p w14:paraId="097B016E" w14:textId="77777777" w:rsidR="006C2DB3" w:rsidRPr="00AB5E75" w:rsidRDefault="006C2DB3" w:rsidP="006C2DB3">
      <w:pPr>
        <w:spacing w:after="180"/>
        <w:jc w:val="left"/>
        <w:textAlignment w:val="auto"/>
        <w:rPr>
          <w:rFonts w:cs="Arial"/>
          <w:lang w:eastAsia="ja-JP"/>
        </w:rPr>
      </w:pPr>
      <w:r w:rsidRPr="00AB5E75">
        <w:rPr>
          <w:rFonts w:cs="Arial"/>
          <w:lang w:eastAsia="ja-JP"/>
        </w:rPr>
        <w:t>Network controlled mobility applies to UEs in RRC_CONNECTED and is categorized into two types of mobility: cell level mobility and beam level mobility.</w:t>
      </w:r>
    </w:p>
    <w:p w14:paraId="4EF27DFA" w14:textId="77777777" w:rsidR="006C2DB3" w:rsidRPr="00AB5E75" w:rsidRDefault="006C2DB3" w:rsidP="006C2DB3">
      <w:pPr>
        <w:spacing w:after="180"/>
        <w:jc w:val="left"/>
        <w:textAlignment w:val="auto"/>
        <w:rPr>
          <w:rFonts w:cs="Arial"/>
          <w:lang w:eastAsia="ja-JP"/>
        </w:rPr>
      </w:pPr>
      <w:r w:rsidRPr="00AB5E75">
        <w:rPr>
          <w:rFonts w:cs="Arial"/>
          <w:b/>
          <w:lang w:eastAsia="ja-JP"/>
        </w:rPr>
        <w:t>Cell Level Mobility</w:t>
      </w:r>
      <w:r w:rsidRPr="00AB5E75">
        <w:rPr>
          <w:rFonts w:cs="Arial"/>
          <w:lang w:eastAsia="ja-JP"/>
        </w:rPr>
        <w:t xml:space="preserve"> requires explicit RRC signalling to be triggered, i.e. handover. For inter-</w:t>
      </w:r>
      <w:proofErr w:type="spellStart"/>
      <w:r w:rsidRPr="00AB5E75">
        <w:rPr>
          <w:rFonts w:cs="Arial"/>
          <w:lang w:eastAsia="ja-JP"/>
        </w:rPr>
        <w:t>gNB</w:t>
      </w:r>
      <w:proofErr w:type="spellEnd"/>
      <w:r w:rsidRPr="00AB5E75">
        <w:rPr>
          <w:rFonts w:cs="Arial"/>
          <w:lang w:eastAsia="ja-JP"/>
        </w:rPr>
        <w:t xml:space="preserve"> handover, the signalling procedures consist of at least the following elemental components illustrated in Figure 9.2.3.1-1:</w:t>
      </w:r>
    </w:p>
    <w:p w14:paraId="47D7AF52" w14:textId="77777777" w:rsidR="006C2DB3" w:rsidRPr="002367CB" w:rsidRDefault="006C2DB3" w:rsidP="006C2DB3">
      <w:pPr>
        <w:keepNext/>
        <w:keepLines/>
        <w:spacing w:before="60" w:after="180"/>
        <w:jc w:val="center"/>
        <w:textAlignment w:val="auto"/>
        <w:rPr>
          <w:rFonts w:cs="Arial"/>
          <w:b/>
          <w:lang w:eastAsia="ja-JP"/>
        </w:rPr>
      </w:pPr>
      <w:r w:rsidRPr="002367CB">
        <w:rPr>
          <w:b/>
          <w:lang w:eastAsia="x-none"/>
        </w:rPr>
        <w:object w:dxaOrig="7155" w:dyaOrig="3465" w14:anchorId="02156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72.5pt" o:ole="">
            <v:imagedata r:id="rId14" o:title=""/>
          </v:shape>
          <o:OLEObject Type="Embed" ProgID="Visio.Drawing.11" ShapeID="_x0000_i1025" DrawAspect="Content" ObjectID="_1602613250" r:id="rId15"/>
        </w:object>
      </w:r>
    </w:p>
    <w:p w14:paraId="386DABEA" w14:textId="77777777" w:rsidR="006C2DB3" w:rsidRPr="002367CB" w:rsidRDefault="006C2DB3" w:rsidP="006C2DB3">
      <w:pPr>
        <w:keepLines/>
        <w:spacing w:after="240"/>
        <w:jc w:val="center"/>
        <w:textAlignment w:val="auto"/>
        <w:rPr>
          <w:rFonts w:cs="Arial"/>
          <w:b/>
          <w:lang w:eastAsia="x-none"/>
        </w:rPr>
      </w:pPr>
      <w:r w:rsidRPr="002367CB">
        <w:rPr>
          <w:rFonts w:cs="Arial"/>
          <w:b/>
          <w:lang w:eastAsia="x-none"/>
        </w:rPr>
        <w:t>Figure 9.2.3.1-1: Inter-</w:t>
      </w:r>
      <w:proofErr w:type="spellStart"/>
      <w:r w:rsidRPr="002367CB">
        <w:rPr>
          <w:rFonts w:cs="Arial"/>
          <w:b/>
          <w:lang w:eastAsia="x-none"/>
        </w:rPr>
        <w:t>gNB</w:t>
      </w:r>
      <w:proofErr w:type="spellEnd"/>
      <w:r w:rsidRPr="002367CB">
        <w:rPr>
          <w:rFonts w:cs="Arial"/>
          <w:b/>
          <w:lang w:eastAsia="x-none"/>
        </w:rPr>
        <w:t xml:space="preserve"> handover procedures</w:t>
      </w:r>
    </w:p>
    <w:p w14:paraId="626902A7" w14:textId="4E06A8C6" w:rsidR="006C2DB3" w:rsidRPr="00AB5E75" w:rsidRDefault="006C2DB3" w:rsidP="006C2DB3">
      <w:pPr>
        <w:spacing w:after="180"/>
        <w:ind w:left="568" w:hanging="284"/>
        <w:jc w:val="left"/>
        <w:textAlignment w:val="auto"/>
        <w:rPr>
          <w:rFonts w:cs="Arial"/>
          <w:lang w:eastAsia="ja-JP"/>
        </w:rPr>
      </w:pPr>
      <w:r w:rsidRPr="00AB5E75">
        <w:rPr>
          <w:rFonts w:cs="Arial"/>
          <w:lang w:eastAsia="ja-JP"/>
        </w:rPr>
        <w:t>1.</w:t>
      </w:r>
      <w:r w:rsidR="00AB5E75" w:rsidRPr="00AB5E75">
        <w:rPr>
          <w:rFonts w:cs="Arial"/>
          <w:lang w:eastAsia="ja-JP"/>
        </w:rPr>
        <w:tab/>
      </w:r>
      <w:r w:rsidRPr="00AB5E75">
        <w:rPr>
          <w:rFonts w:cs="Arial"/>
          <w:lang w:eastAsia="ja-JP"/>
        </w:rPr>
        <w:t xml:space="preserve">The source </w:t>
      </w:r>
      <w:proofErr w:type="spellStart"/>
      <w:r w:rsidRPr="00AB5E75">
        <w:rPr>
          <w:rFonts w:cs="Arial"/>
          <w:lang w:eastAsia="ja-JP"/>
        </w:rPr>
        <w:t>gNB</w:t>
      </w:r>
      <w:proofErr w:type="spellEnd"/>
      <w:r w:rsidRPr="00AB5E75">
        <w:rPr>
          <w:rFonts w:cs="Arial"/>
          <w:lang w:eastAsia="ja-JP"/>
        </w:rPr>
        <w:t xml:space="preserve"> initiates handover and issues a Handover Request over the </w:t>
      </w:r>
      <w:proofErr w:type="spellStart"/>
      <w:r w:rsidRPr="00AB5E75">
        <w:rPr>
          <w:rFonts w:cs="Arial"/>
          <w:lang w:eastAsia="ja-JP"/>
        </w:rPr>
        <w:t>Xn</w:t>
      </w:r>
      <w:proofErr w:type="spellEnd"/>
      <w:r w:rsidRPr="00AB5E75">
        <w:rPr>
          <w:rFonts w:cs="Arial"/>
          <w:lang w:eastAsia="ja-JP"/>
        </w:rPr>
        <w:t xml:space="preserve"> interface.</w:t>
      </w:r>
    </w:p>
    <w:p w14:paraId="7197A7EB" w14:textId="708581C7" w:rsidR="006C2DB3" w:rsidRPr="00AB5E75" w:rsidRDefault="00AB5E75" w:rsidP="006C2DB3">
      <w:pPr>
        <w:spacing w:after="180"/>
        <w:ind w:left="568" w:hanging="284"/>
        <w:jc w:val="left"/>
        <w:textAlignment w:val="auto"/>
        <w:rPr>
          <w:rFonts w:cs="Arial"/>
          <w:lang w:eastAsia="ja-JP"/>
        </w:rPr>
      </w:pPr>
      <w:r w:rsidRPr="00AB5E75">
        <w:rPr>
          <w:rFonts w:cs="Arial"/>
          <w:lang w:eastAsia="ja-JP"/>
        </w:rPr>
        <w:t xml:space="preserve">2. </w:t>
      </w:r>
      <w:r w:rsidRPr="00AB5E75">
        <w:rPr>
          <w:rFonts w:cs="Arial"/>
          <w:lang w:eastAsia="ja-JP"/>
        </w:rPr>
        <w:tab/>
      </w:r>
      <w:r w:rsidR="006C2DB3" w:rsidRPr="00AB5E75">
        <w:rPr>
          <w:rFonts w:cs="Arial"/>
          <w:lang w:eastAsia="ja-JP"/>
        </w:rPr>
        <w:t xml:space="preserve">The target </w:t>
      </w:r>
      <w:proofErr w:type="spellStart"/>
      <w:r w:rsidR="006C2DB3" w:rsidRPr="00AB5E75">
        <w:rPr>
          <w:rFonts w:cs="Arial"/>
          <w:lang w:eastAsia="ja-JP"/>
        </w:rPr>
        <w:t>gNB</w:t>
      </w:r>
      <w:proofErr w:type="spellEnd"/>
      <w:r w:rsidR="006C2DB3" w:rsidRPr="00AB5E75">
        <w:rPr>
          <w:rFonts w:cs="Arial"/>
          <w:lang w:eastAsia="ja-JP"/>
        </w:rPr>
        <w:t xml:space="preserve"> performs admission control and provides the RRC configuration as part of the Handover Acknowledgement.</w:t>
      </w:r>
    </w:p>
    <w:p w14:paraId="6211C7BF" w14:textId="4CD0A4EE" w:rsidR="006C2DB3" w:rsidRPr="00AB5E75" w:rsidRDefault="00AB5E75" w:rsidP="00AB5E75">
      <w:pPr>
        <w:spacing w:after="180"/>
        <w:ind w:left="568" w:hanging="284"/>
        <w:jc w:val="left"/>
        <w:textAlignment w:val="auto"/>
        <w:rPr>
          <w:rFonts w:cs="Arial"/>
          <w:lang w:eastAsia="ja-JP"/>
        </w:rPr>
      </w:pPr>
      <w:r w:rsidRPr="00AB5E75">
        <w:rPr>
          <w:rFonts w:cs="Arial"/>
          <w:lang w:eastAsia="ja-JP"/>
        </w:rPr>
        <w:t xml:space="preserve">3. </w:t>
      </w:r>
      <w:r w:rsidRPr="00AB5E75">
        <w:rPr>
          <w:rFonts w:cs="Arial"/>
          <w:lang w:eastAsia="ja-JP"/>
        </w:rPr>
        <w:tab/>
      </w:r>
      <w:r w:rsidR="006C2DB3" w:rsidRPr="00AB5E75">
        <w:rPr>
          <w:rFonts w:cs="Arial"/>
          <w:lang w:eastAsia="ja-JP"/>
        </w:rPr>
        <w:t xml:space="preserve">The source </w:t>
      </w:r>
      <w:proofErr w:type="spellStart"/>
      <w:r w:rsidR="006C2DB3" w:rsidRPr="00AB5E75">
        <w:rPr>
          <w:rFonts w:cs="Arial"/>
          <w:lang w:eastAsia="ja-JP"/>
        </w:rPr>
        <w:t>gNB</w:t>
      </w:r>
      <w:proofErr w:type="spellEnd"/>
      <w:r w:rsidR="006C2DB3" w:rsidRPr="00AB5E75">
        <w:rPr>
          <w:rFonts w:cs="Arial"/>
          <w:lang w:eastAsia="ja-JP"/>
        </w:rPr>
        <w:t xml:space="preserve"> provides the RRC configuration to the UE in the</w:t>
      </w:r>
      <w:r w:rsidRPr="00AB5E75">
        <w:rPr>
          <w:rFonts w:cs="Arial"/>
          <w:lang w:eastAsia="ja-JP"/>
        </w:rPr>
        <w:t xml:space="preserve"> Handover Command. The Handover </w:t>
      </w:r>
      <w:r w:rsidR="006C2DB3" w:rsidRPr="00AB5E75">
        <w:rPr>
          <w:rFonts w:cs="Arial"/>
          <w:lang w:eastAsia="ja-JP"/>
        </w:rPr>
        <w:t>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5F28E172" w14:textId="4C3D5A4A" w:rsidR="006C2DB3" w:rsidRPr="00AB5E75" w:rsidRDefault="006C2DB3" w:rsidP="006C2DB3">
      <w:pPr>
        <w:spacing w:after="180"/>
        <w:ind w:left="568" w:hanging="284"/>
        <w:jc w:val="left"/>
        <w:textAlignment w:val="auto"/>
        <w:rPr>
          <w:rFonts w:cs="Arial"/>
          <w:lang w:eastAsia="ja-JP"/>
        </w:rPr>
      </w:pPr>
      <w:r w:rsidRPr="00AB5E75">
        <w:rPr>
          <w:rFonts w:cs="Arial"/>
          <w:lang w:eastAsia="ja-JP"/>
        </w:rPr>
        <w:t>4.</w:t>
      </w:r>
      <w:r w:rsidRPr="00AB5E75">
        <w:rPr>
          <w:rFonts w:cs="Arial"/>
          <w:lang w:eastAsia="ja-JP"/>
        </w:rPr>
        <w:tab/>
        <w:t xml:space="preserve">The UE moves the RRC connection to the target </w:t>
      </w:r>
      <w:proofErr w:type="spellStart"/>
      <w:r w:rsidRPr="00AB5E75">
        <w:rPr>
          <w:rFonts w:cs="Arial"/>
          <w:lang w:eastAsia="ja-JP"/>
        </w:rPr>
        <w:t>gNB</w:t>
      </w:r>
      <w:proofErr w:type="spellEnd"/>
      <w:r w:rsidRPr="00AB5E75">
        <w:rPr>
          <w:rFonts w:cs="Arial"/>
          <w:lang w:eastAsia="ja-JP"/>
        </w:rPr>
        <w:t xml:space="preserve"> and replies</w:t>
      </w:r>
      <w:r w:rsidR="00AB5E75" w:rsidRPr="00AB5E75">
        <w:rPr>
          <w:rFonts w:cs="Arial"/>
          <w:lang w:eastAsia="ja-JP"/>
        </w:rPr>
        <w:t xml:space="preserve"> with</w:t>
      </w:r>
      <w:r w:rsidRPr="00AB5E75">
        <w:rPr>
          <w:rFonts w:cs="Arial"/>
          <w:lang w:eastAsia="ja-JP"/>
        </w:rPr>
        <w:t xml:space="preserve"> the Handover Complete.</w:t>
      </w:r>
    </w:p>
    <w:p w14:paraId="3E5DC44E" w14:textId="77777777" w:rsidR="006C2DB3" w:rsidRPr="00AB5E75" w:rsidRDefault="006C2DB3" w:rsidP="006C2DB3">
      <w:pPr>
        <w:rPr>
          <w:rFonts w:cs="Arial"/>
        </w:rPr>
      </w:pPr>
    </w:p>
    <w:p w14:paraId="2E40C1C6" w14:textId="77777777" w:rsidR="006C2DB3" w:rsidRDefault="006C2DB3" w:rsidP="006C2DB3">
      <w:r>
        <w:t>…… ……</w:t>
      </w:r>
    </w:p>
    <w:p w14:paraId="05568FD1" w14:textId="77777777" w:rsidR="006C2DB3" w:rsidRDefault="006C2DB3" w:rsidP="006C2DB3">
      <w:pPr>
        <w:rPr>
          <w:rFonts w:ascii="Times New Roman" w:hAnsi="Times New Roman"/>
          <w:lang w:eastAsia="ja-JP"/>
        </w:rPr>
      </w:pPr>
      <w:r w:rsidRPr="006D5572">
        <w:rPr>
          <w:b/>
        </w:rPr>
        <w:t xml:space="preserve">Beam Level Mobility </w:t>
      </w:r>
      <w:r w:rsidRPr="006D5572">
        <w:t>does not require explicit RRC signalling to be triggered - it is dealt with at lower layers - and RRC is not required to know which beam is being used at a given point in time.</w:t>
      </w:r>
    </w:p>
    <w:p w14:paraId="64D7F1F5" w14:textId="77777777" w:rsidR="006C2DB3" w:rsidRDefault="006C2DB3" w:rsidP="006C2DB3">
      <w:pPr>
        <w:pStyle w:val="BodyText"/>
        <w:ind w:right="533"/>
        <w:rPr>
          <w:rFonts w:cs="Arial"/>
          <w:b/>
        </w:rPr>
      </w:pPr>
    </w:p>
    <w:p w14:paraId="4B6A2436" w14:textId="77777777" w:rsidR="006C2DB3" w:rsidRDefault="006C2DB3" w:rsidP="006C2DB3">
      <w:r w:rsidRPr="00042BED">
        <w:t xml:space="preserve">From </w:t>
      </w:r>
      <w:r>
        <w:t>the above, it should be observed that when RAN2 discusses mobility, it is the cell level mobility that is in question as the beam level mobility which is also called beam management is handled by lower layers and thus by RAN1.</w:t>
      </w:r>
    </w:p>
    <w:p w14:paraId="41FC0E26" w14:textId="77777777" w:rsidR="006C2DB3" w:rsidRDefault="006C2DB3" w:rsidP="006C2DB3"/>
    <w:p w14:paraId="7DB79C2C" w14:textId="77777777" w:rsidR="006C2DB3" w:rsidRDefault="006C2DB3" w:rsidP="006C2DB3">
      <w:pPr>
        <w:pStyle w:val="Observation"/>
      </w:pPr>
      <w:bookmarkStart w:id="2" w:name="_Toc525848431"/>
      <w:bookmarkStart w:id="3" w:name="_Toc528593873"/>
      <w:bookmarkStart w:id="4" w:name="_Toc528870085"/>
      <w:bookmarkStart w:id="5" w:name="_Toc528870134"/>
      <w:r>
        <w:t>The term mobility refers to cell level mobility when discussed in RAN2.</w:t>
      </w:r>
      <w:bookmarkEnd w:id="2"/>
      <w:bookmarkEnd w:id="3"/>
      <w:bookmarkEnd w:id="4"/>
      <w:bookmarkEnd w:id="5"/>
    </w:p>
    <w:p w14:paraId="07EF320F" w14:textId="77777777" w:rsidR="006C2DB3" w:rsidRDefault="006C2DB3" w:rsidP="00AB5E75">
      <w:pPr>
        <w:pStyle w:val="Observation"/>
      </w:pPr>
      <w:bookmarkStart w:id="6" w:name="_Toc525848432"/>
      <w:bookmarkStart w:id="7" w:name="_Toc528593874"/>
      <w:bookmarkStart w:id="8" w:name="_Toc528870086"/>
      <w:bookmarkStart w:id="9" w:name="_Toc528870135"/>
      <w:r>
        <w:lastRenderedPageBreak/>
        <w:t>Beam level mobility which is also called beam management is handled by lower layers and thus by RAN1.</w:t>
      </w:r>
      <w:bookmarkEnd w:id="6"/>
      <w:bookmarkEnd w:id="7"/>
      <w:bookmarkEnd w:id="8"/>
      <w:bookmarkEnd w:id="9"/>
    </w:p>
    <w:p w14:paraId="07DAA699" w14:textId="77777777" w:rsidR="00FF153D" w:rsidRPr="00002338" w:rsidRDefault="00FF153D" w:rsidP="00FF153D"/>
    <w:p w14:paraId="75504E75" w14:textId="0BA52BAC" w:rsidR="006C2DB3" w:rsidRDefault="00FF153D" w:rsidP="00046DB2">
      <w:pPr>
        <w:pStyle w:val="Heading1"/>
      </w:pPr>
      <w:r>
        <w:t>Cell level mobility for satellites</w:t>
      </w:r>
    </w:p>
    <w:p w14:paraId="7678F595" w14:textId="77777777" w:rsidR="000077B1" w:rsidRDefault="000077B1" w:rsidP="000077B1">
      <w:pPr>
        <w:rPr>
          <w:lang w:eastAsia="en-US"/>
        </w:rPr>
      </w:pPr>
      <w:r>
        <w:t>After RAN2#103bis, t</w:t>
      </w:r>
      <w:r>
        <w:rPr>
          <w:lang w:eastAsia="en-US"/>
        </w:rPr>
        <w:t>he complete list of 6 scenarios in TR 38.821 is:</w:t>
      </w:r>
    </w:p>
    <w:p w14:paraId="19725BDA" w14:textId="77777777" w:rsidR="000077B1" w:rsidRDefault="000077B1" w:rsidP="000077B1">
      <w:pPr>
        <w:rPr>
          <w:rFonts w:ascii="Calibri" w:hAnsi="Calibri"/>
          <w:lang w:eastAsia="en-US"/>
        </w:rPr>
      </w:pPr>
      <w:r>
        <w:rPr>
          <w:lang w:eastAsia="en-US"/>
        </w:rPr>
        <w:t>Scenario A – GEO, transparent satellite, Earth-fixed beams;</w:t>
      </w:r>
    </w:p>
    <w:p w14:paraId="533A8473" w14:textId="77777777" w:rsidR="000077B1" w:rsidRDefault="000077B1" w:rsidP="000077B1">
      <w:pPr>
        <w:rPr>
          <w:lang w:eastAsia="en-US"/>
        </w:rPr>
      </w:pPr>
      <w:r>
        <w:rPr>
          <w:lang w:eastAsia="en-US"/>
        </w:rPr>
        <w:t>Scenario B – GEO, regenerative satellite, Earth fixed beams;</w:t>
      </w:r>
    </w:p>
    <w:p w14:paraId="06F809D8" w14:textId="77777777" w:rsidR="000077B1" w:rsidRDefault="000077B1" w:rsidP="000077B1">
      <w:pPr>
        <w:rPr>
          <w:lang w:eastAsia="en-US"/>
        </w:rPr>
      </w:pPr>
      <w:r>
        <w:rPr>
          <w:lang w:eastAsia="en-US"/>
        </w:rPr>
        <w:t>Scenario C1 – LEO, transparent satellite, Earth-fixed beams;</w:t>
      </w:r>
    </w:p>
    <w:p w14:paraId="749E63AE" w14:textId="77777777" w:rsidR="000077B1" w:rsidRDefault="000077B1" w:rsidP="000077B1">
      <w:pPr>
        <w:rPr>
          <w:lang w:eastAsia="en-US"/>
        </w:rPr>
      </w:pPr>
      <w:r>
        <w:rPr>
          <w:lang w:eastAsia="en-US"/>
        </w:rPr>
        <w:t>Scenario C2 – LEO, transparent satellite, Earth-moving beams;</w:t>
      </w:r>
    </w:p>
    <w:p w14:paraId="7B62FD99" w14:textId="77777777" w:rsidR="000077B1" w:rsidRDefault="000077B1" w:rsidP="000077B1">
      <w:pPr>
        <w:rPr>
          <w:lang w:eastAsia="en-US"/>
        </w:rPr>
      </w:pPr>
      <w:r>
        <w:rPr>
          <w:lang w:eastAsia="en-US"/>
        </w:rPr>
        <w:t>Scenario D1 – LEO, regenerative satellite, Earth-fixed beams;</w:t>
      </w:r>
    </w:p>
    <w:p w14:paraId="1FA7CC4C" w14:textId="77777777" w:rsidR="000077B1" w:rsidRDefault="000077B1" w:rsidP="000077B1">
      <w:pPr>
        <w:rPr>
          <w:lang w:eastAsia="en-US"/>
        </w:rPr>
      </w:pPr>
      <w:r>
        <w:rPr>
          <w:lang w:eastAsia="en-US"/>
        </w:rPr>
        <w:t>Scenario D2 – LEO, regenerative satellite, Earth-moving beams.</w:t>
      </w:r>
    </w:p>
    <w:p w14:paraId="4CAB6628" w14:textId="77777777" w:rsidR="00D709F3" w:rsidRPr="00042BED" w:rsidRDefault="00D709F3" w:rsidP="00D709F3"/>
    <w:p w14:paraId="33165FB8" w14:textId="77777777" w:rsidR="008B1471" w:rsidRDefault="008B1471" w:rsidP="008B1471">
      <w:pPr>
        <w:pStyle w:val="Heading2"/>
      </w:pPr>
      <w:r>
        <w:t>Scenarios A and B – GEO satellites</w:t>
      </w:r>
    </w:p>
    <w:p w14:paraId="14D61153" w14:textId="146CFA73" w:rsidR="00D709F3" w:rsidRDefault="003B7E33" w:rsidP="00D709F3">
      <w:r>
        <w:t xml:space="preserve">The earth diameter that can be covered by one GEO satellite beam can be </w:t>
      </w:r>
      <w:r>
        <w:t>around 500km</w:t>
      </w:r>
      <w:r>
        <w:t xml:space="preserve"> </w:t>
      </w:r>
      <w:r>
        <w:t xml:space="preserve">to </w:t>
      </w:r>
      <w:r>
        <w:t>1000km.</w:t>
      </w:r>
      <w:r w:rsidR="0044292F">
        <w:t xml:space="preserve"> </w:t>
      </w:r>
      <w:r w:rsidR="00EC2A7B">
        <w:t>When UE is in the middle of the cell, there is no need for mobility events</w:t>
      </w:r>
      <w:r w:rsidR="005443F0">
        <w:t xml:space="preserve"> but when it approaches the cell edge, UE starts to see other cell reference signals for RRM measurements</w:t>
      </w:r>
      <w:r w:rsidR="002E6196">
        <w:t xml:space="preserve">. </w:t>
      </w:r>
      <w:r w:rsidR="0026727A">
        <w:t>T</w:t>
      </w:r>
      <w:r w:rsidR="00D709F3">
        <w:t xml:space="preserve">he long propagation delay will affect the time duration to complete a handover, for example the UE measurement reporting related to neighbouring cells adds a delay. </w:t>
      </w:r>
      <w:r w:rsidR="0026727A">
        <w:t xml:space="preserve">The delay for reporting the RRM measurements and initiation of the HO can be </w:t>
      </w:r>
      <w:proofErr w:type="gramStart"/>
      <w:r w:rsidR="0026727A">
        <w:t>taken into account</w:t>
      </w:r>
      <w:proofErr w:type="gramEnd"/>
      <w:r w:rsidR="0026727A">
        <w:t xml:space="preserve"> in the measurement configuration such that measurements are triggered faster.</w:t>
      </w:r>
      <w:r w:rsidR="0026727A">
        <w:t xml:space="preserve"> Further</w:t>
      </w:r>
      <w:r w:rsidR="00792CE9">
        <w:t>, t</w:t>
      </w:r>
      <w:r w:rsidR="00D709F3">
        <w:t xml:space="preserve">he cell overlap of the source and target satellite cells should be large enough to provide enough coverage during the handover procedure, the size of the overlap depends on the UE speed and handover procedure delay. </w:t>
      </w:r>
      <w:r w:rsidR="00AD578B">
        <w:t xml:space="preserve"> </w:t>
      </w:r>
    </w:p>
    <w:p w14:paraId="43E5447D" w14:textId="77777777" w:rsidR="00D709F3" w:rsidRDefault="00D709F3" w:rsidP="00D709F3">
      <w:pPr>
        <w:pStyle w:val="Observation"/>
        <w:ind w:left="360" w:hanging="360"/>
      </w:pPr>
      <w:bookmarkStart w:id="10" w:name="_Toc525848433"/>
      <w:bookmarkStart w:id="11" w:name="_Toc528870087"/>
      <w:bookmarkStart w:id="12" w:name="_Toc528870136"/>
      <w:r>
        <w:t>The handover procedure for GEO satellite takes more time than in terrestrial case.</w:t>
      </w:r>
      <w:bookmarkEnd w:id="10"/>
      <w:bookmarkEnd w:id="11"/>
      <w:bookmarkEnd w:id="12"/>
    </w:p>
    <w:p w14:paraId="4D814640" w14:textId="77777777" w:rsidR="00D709F3" w:rsidRPr="006D5572" w:rsidRDefault="00D709F3" w:rsidP="00D709F3">
      <w:pPr>
        <w:pStyle w:val="Observation"/>
        <w:ind w:left="360" w:hanging="360"/>
        <w:rPr>
          <w:lang w:val="en-US"/>
        </w:rPr>
      </w:pPr>
      <w:bookmarkStart w:id="13" w:name="_Toc525848434"/>
      <w:bookmarkStart w:id="14" w:name="_Toc528870088"/>
      <w:bookmarkStart w:id="15" w:name="_Toc528870137"/>
      <w:proofErr w:type="gramStart"/>
      <w:r w:rsidRPr="006D5572">
        <w:rPr>
          <w:lang w:val="en-US"/>
        </w:rPr>
        <w:t>Sufficient</w:t>
      </w:r>
      <w:proofErr w:type="gramEnd"/>
      <w:r w:rsidRPr="006D5572">
        <w:rPr>
          <w:lang w:val="en-US"/>
        </w:rPr>
        <w:t xml:space="preserve"> cell overlap might help the issue for HO delay</w:t>
      </w:r>
      <w:bookmarkEnd w:id="13"/>
      <w:bookmarkEnd w:id="14"/>
      <w:bookmarkEnd w:id="15"/>
    </w:p>
    <w:p w14:paraId="7370F318" w14:textId="23B21340" w:rsidR="00D709F3" w:rsidRPr="006D5572" w:rsidRDefault="00D709F3" w:rsidP="00D709F3">
      <w:pPr>
        <w:pStyle w:val="Proposal"/>
        <w:tabs>
          <w:tab w:val="num" w:pos="1304"/>
        </w:tabs>
        <w:ind w:left="1304" w:hanging="1304"/>
        <w:rPr>
          <w:lang w:val="en-US"/>
        </w:rPr>
      </w:pPr>
      <w:bookmarkStart w:id="16" w:name="_Toc525825305"/>
      <w:bookmarkStart w:id="17" w:name="_Toc525825041"/>
      <w:bookmarkStart w:id="18" w:name="_Toc525825306"/>
      <w:bookmarkStart w:id="19" w:name="_Toc525825731"/>
      <w:bookmarkStart w:id="20" w:name="_Toc525848437"/>
      <w:bookmarkStart w:id="21" w:name="_Toc528870089"/>
      <w:bookmarkStart w:id="22" w:name="_Toc528870138"/>
      <w:bookmarkEnd w:id="16"/>
      <w:bookmarkEnd w:id="17"/>
      <w:bookmarkEnd w:id="18"/>
      <w:bookmarkEnd w:id="19"/>
      <w:r w:rsidRPr="006D5572">
        <w:rPr>
          <w:lang w:val="en-US"/>
        </w:rPr>
        <w:t xml:space="preserve">RAN2 to study the delay impact of HO procedure in GEO satellites and identify </w:t>
      </w:r>
      <w:r w:rsidR="00A5374D">
        <w:rPr>
          <w:lang w:val="en-US"/>
        </w:rPr>
        <w:t xml:space="preserve">if any </w:t>
      </w:r>
      <w:r w:rsidRPr="006D5572">
        <w:rPr>
          <w:lang w:val="en-US"/>
        </w:rPr>
        <w:t>specification impacts</w:t>
      </w:r>
      <w:bookmarkEnd w:id="20"/>
      <w:r w:rsidR="00A5374D">
        <w:rPr>
          <w:lang w:val="en-US"/>
        </w:rPr>
        <w:t xml:space="preserve"> are needed</w:t>
      </w:r>
      <w:bookmarkEnd w:id="21"/>
      <w:bookmarkEnd w:id="22"/>
    </w:p>
    <w:p w14:paraId="367E4C93" w14:textId="77777777" w:rsidR="00A5374D" w:rsidRDefault="00A5374D" w:rsidP="00B91B36"/>
    <w:p w14:paraId="636B810F" w14:textId="77777777" w:rsidR="00806EC2" w:rsidRDefault="00806EC2" w:rsidP="00806EC2">
      <w:pPr>
        <w:pStyle w:val="Heading2"/>
      </w:pPr>
      <w:r>
        <w:t>Scenarios C1 and D1 – non-GEO satellites with earth fixed beams</w:t>
      </w:r>
    </w:p>
    <w:p w14:paraId="5CE9A22A" w14:textId="77777777" w:rsidR="00A5374D" w:rsidRDefault="00A5374D" w:rsidP="00B91B36"/>
    <w:p w14:paraId="521F1B69" w14:textId="279BBE49" w:rsidR="00B530F6" w:rsidRDefault="00B91B36" w:rsidP="00B91B36">
      <w:r>
        <w:t>In case of earth fixed b</w:t>
      </w:r>
      <w:r w:rsidR="00205F41">
        <w:t>eams,</w:t>
      </w:r>
      <w:r>
        <w:t xml:space="preserve"> the satellite will be out of coverage at some point,</w:t>
      </w:r>
      <w:r w:rsidR="00AC3782">
        <w:t xml:space="preserve"> and another satellite will take over</w:t>
      </w:r>
      <w:r w:rsidR="007F2687">
        <w:t xml:space="preserve"> the earth location. </w:t>
      </w:r>
      <w:r>
        <w:t xml:space="preserve"> </w:t>
      </w:r>
      <w:r w:rsidR="006E3BC9">
        <w:t>Also</w:t>
      </w:r>
      <w:r w:rsidR="00480841">
        <w:t>,</w:t>
      </w:r>
      <w:r w:rsidR="006E3BC9">
        <w:t xml:space="preserve"> the UEs served </w:t>
      </w:r>
      <w:r w:rsidR="00141678">
        <w:t>via</w:t>
      </w:r>
      <w:r w:rsidR="006E3BC9">
        <w:t xml:space="preserve"> the </w:t>
      </w:r>
      <w:r w:rsidR="00141678">
        <w:t>previous covering satellite</w:t>
      </w:r>
      <w:r w:rsidR="00B530F6">
        <w:t xml:space="preserve"> should </w:t>
      </w:r>
      <w:r w:rsidR="007B587F">
        <w:t xml:space="preserve">“transfer” to be served via the new satellite. </w:t>
      </w:r>
      <w:r w:rsidR="002E020B">
        <w:t>RAN2 should discuss what would this “transfer” look like from NR perspective</w:t>
      </w:r>
      <w:r w:rsidR="00A63A9A">
        <w:t xml:space="preserve">. We can assume that there is </w:t>
      </w:r>
      <w:proofErr w:type="spellStart"/>
      <w:r w:rsidR="00A63A9A">
        <w:t>gNB</w:t>
      </w:r>
      <w:proofErr w:type="spellEnd"/>
      <w:r w:rsidR="00A63A9A">
        <w:t xml:space="preserve"> onboard, partly onboard, or</w:t>
      </w:r>
      <w:r w:rsidR="0023772B">
        <w:t xml:space="preserve"> on ground serving the UEs.</w:t>
      </w:r>
      <w:r w:rsidR="0025493B">
        <w:t xml:space="preserve"> The following aspects should be clarified for the transfer:</w:t>
      </w:r>
    </w:p>
    <w:p w14:paraId="7424A952" w14:textId="59471512" w:rsidR="0025493B" w:rsidRDefault="0025493B" w:rsidP="0025493B">
      <w:pPr>
        <w:pStyle w:val="ListParagraph"/>
        <w:numPr>
          <w:ilvl w:val="0"/>
          <w:numId w:val="20"/>
        </w:numPr>
      </w:pPr>
      <w:r>
        <w:t xml:space="preserve">Is </w:t>
      </w:r>
      <w:r w:rsidR="000F1DAD">
        <w:t xml:space="preserve">the </w:t>
      </w:r>
      <w:r w:rsidR="00CB1902">
        <w:t xml:space="preserve">signal coming via the new satellite going to be from the same or different </w:t>
      </w:r>
      <w:proofErr w:type="spellStart"/>
      <w:r w:rsidR="00CB1902">
        <w:t>gNB</w:t>
      </w:r>
      <w:proofErr w:type="spellEnd"/>
      <w:r w:rsidR="00CB1902">
        <w:t>?</w:t>
      </w:r>
    </w:p>
    <w:p w14:paraId="415C88E7" w14:textId="3C1E1F59" w:rsidR="008B7B6E" w:rsidRDefault="008B7B6E" w:rsidP="0025493B">
      <w:pPr>
        <w:pStyle w:val="ListParagraph"/>
        <w:numPr>
          <w:ilvl w:val="0"/>
          <w:numId w:val="20"/>
        </w:numPr>
      </w:pPr>
      <w:r>
        <w:t xml:space="preserve">Is the signal coming via new satellite covering </w:t>
      </w:r>
      <w:r w:rsidR="00DE02E3">
        <w:t>simultaneously the same earth area?</w:t>
      </w:r>
    </w:p>
    <w:p w14:paraId="6AA56C6D" w14:textId="7CFAB260" w:rsidR="00DE02E3" w:rsidRDefault="00DE02E3" w:rsidP="0025493B">
      <w:pPr>
        <w:pStyle w:val="ListParagraph"/>
        <w:numPr>
          <w:ilvl w:val="0"/>
          <w:numId w:val="20"/>
        </w:numPr>
      </w:pPr>
      <w:r>
        <w:t xml:space="preserve">Is the </w:t>
      </w:r>
      <w:r w:rsidR="004F173C">
        <w:t>signal coming via new satellite on same frequency or different frequency with respect to SSB</w:t>
      </w:r>
      <w:r w:rsidR="001974F4">
        <w:t xml:space="preserve"> and/or with respect to cell DL bandwidth?</w:t>
      </w:r>
    </w:p>
    <w:p w14:paraId="389A0B81" w14:textId="16561BFA" w:rsidR="001974F4" w:rsidRDefault="001974F4" w:rsidP="0025493B">
      <w:pPr>
        <w:pStyle w:val="ListParagraph"/>
        <w:numPr>
          <w:ilvl w:val="0"/>
          <w:numId w:val="20"/>
        </w:numPr>
      </w:pPr>
      <w:r>
        <w:t>Can UE be assumed to have omni directional or directional antennas</w:t>
      </w:r>
      <w:r w:rsidR="00480841">
        <w:t xml:space="preserve"> or either?</w:t>
      </w:r>
    </w:p>
    <w:p w14:paraId="07B04DF1" w14:textId="11AAC216" w:rsidR="00205F41" w:rsidRDefault="00205F41" w:rsidP="00B91B36"/>
    <w:p w14:paraId="765C8FD3" w14:textId="63715F79" w:rsidR="00AB3B1F" w:rsidRPr="006D5572" w:rsidRDefault="00AB3B1F" w:rsidP="00AB3B1F">
      <w:pPr>
        <w:pStyle w:val="Proposal"/>
        <w:tabs>
          <w:tab w:val="num" w:pos="1304"/>
        </w:tabs>
        <w:ind w:left="1304" w:hanging="1304"/>
        <w:rPr>
          <w:lang w:val="en-US"/>
        </w:rPr>
      </w:pPr>
      <w:bookmarkStart w:id="23" w:name="_Toc528870090"/>
      <w:bookmarkStart w:id="24" w:name="_Toc528870139"/>
      <w:r w:rsidRPr="006D5572">
        <w:rPr>
          <w:lang w:val="en-US"/>
        </w:rPr>
        <w:t xml:space="preserve">RAN2 to </w:t>
      </w:r>
      <w:r>
        <w:rPr>
          <w:lang w:val="en-US"/>
        </w:rPr>
        <w:t>discuss the above listed issues</w:t>
      </w:r>
      <w:bookmarkEnd w:id="23"/>
      <w:bookmarkEnd w:id="24"/>
    </w:p>
    <w:p w14:paraId="5EE48DEC" w14:textId="77777777" w:rsidR="00205F41" w:rsidRDefault="00205F41" w:rsidP="00B91B36"/>
    <w:p w14:paraId="7214AEB7" w14:textId="77777777" w:rsidR="00F9784B" w:rsidRDefault="00F9784B" w:rsidP="00F9784B">
      <w:pPr>
        <w:pStyle w:val="Heading2"/>
      </w:pPr>
      <w:r>
        <w:lastRenderedPageBreak/>
        <w:t>Scenarios C2 and D2 – non-GEO satellites with earth moving beams</w:t>
      </w:r>
    </w:p>
    <w:p w14:paraId="0FE7892D" w14:textId="59E75ED1" w:rsidR="004A03BA" w:rsidRDefault="007A5497" w:rsidP="004A03BA">
      <w:r>
        <w:t xml:space="preserve">In case of earth </w:t>
      </w:r>
      <w:r>
        <w:t>moving</w:t>
      </w:r>
      <w:r>
        <w:t xml:space="preserve"> b</w:t>
      </w:r>
      <w:r>
        <w:t>eams,</w:t>
      </w:r>
      <w:r w:rsidR="002673B9">
        <w:t xml:space="preserve"> the NR cells transmitted via the satellite(s) will sweep the earth</w:t>
      </w:r>
      <w:r w:rsidR="00441B72">
        <w:t>. For mobility, this means</w:t>
      </w:r>
      <w:r w:rsidR="00986D45">
        <w:t xml:space="preserve"> </w:t>
      </w:r>
      <w:r w:rsidR="000C6C10">
        <w:t>that</w:t>
      </w:r>
      <w:r w:rsidR="00213747">
        <w:t xml:space="preserve"> depending on cell size, the HO rate can be </w:t>
      </w:r>
      <w:r w:rsidR="00D31C5E">
        <w:t>relatively large.</w:t>
      </w:r>
      <w:r w:rsidR="004A03BA" w:rsidRPr="004A03BA">
        <w:t xml:space="preserve"> </w:t>
      </w:r>
      <w:r w:rsidR="004A03BA">
        <w:t>The following aspects should be clarifie</w:t>
      </w:r>
      <w:r w:rsidR="008E5968">
        <w:t>d</w:t>
      </w:r>
      <w:r w:rsidR="004A03BA">
        <w:t>:</w:t>
      </w:r>
    </w:p>
    <w:p w14:paraId="40864F07" w14:textId="51DC5D21" w:rsidR="004A03BA" w:rsidRDefault="00AA0832" w:rsidP="004A03BA">
      <w:pPr>
        <w:pStyle w:val="ListParagraph"/>
        <w:numPr>
          <w:ilvl w:val="0"/>
          <w:numId w:val="20"/>
        </w:numPr>
      </w:pPr>
      <w:r>
        <w:t>How long time a stationary UE stays under one NR cell coverage</w:t>
      </w:r>
      <w:r w:rsidR="004A03BA">
        <w:t>?</w:t>
      </w:r>
    </w:p>
    <w:p w14:paraId="7B92848C" w14:textId="09AEAB1A" w:rsidR="004A03BA" w:rsidRDefault="00980B1E" w:rsidP="004A03BA">
      <w:pPr>
        <w:pStyle w:val="ListParagraph"/>
        <w:numPr>
          <w:ilvl w:val="0"/>
          <w:numId w:val="20"/>
        </w:numPr>
      </w:pPr>
      <w:r>
        <w:t>How long time the service interruption due to HO lasts</w:t>
      </w:r>
      <w:r w:rsidR="004A03BA">
        <w:t>?</w:t>
      </w:r>
    </w:p>
    <w:p w14:paraId="30D35737" w14:textId="77777777" w:rsidR="004A03BA" w:rsidRDefault="004A03BA" w:rsidP="004A03BA">
      <w:pPr>
        <w:pStyle w:val="ListParagraph"/>
        <w:numPr>
          <w:ilvl w:val="0"/>
          <w:numId w:val="20"/>
        </w:numPr>
      </w:pPr>
      <w:r>
        <w:t>Can UE be assumed to have omni directional or directional antennas or either?</w:t>
      </w:r>
    </w:p>
    <w:p w14:paraId="36C5B225" w14:textId="77777777" w:rsidR="004A03BA" w:rsidRDefault="004A03BA" w:rsidP="004A03BA"/>
    <w:p w14:paraId="59501520" w14:textId="77777777" w:rsidR="004A03BA" w:rsidRPr="006D5572" w:rsidRDefault="004A03BA" w:rsidP="004A03BA">
      <w:pPr>
        <w:pStyle w:val="Proposal"/>
        <w:tabs>
          <w:tab w:val="num" w:pos="1304"/>
        </w:tabs>
        <w:ind w:left="1304" w:hanging="1304"/>
        <w:rPr>
          <w:lang w:val="en-US"/>
        </w:rPr>
      </w:pPr>
      <w:bookmarkStart w:id="25" w:name="_Toc528870091"/>
      <w:bookmarkStart w:id="26" w:name="_Toc528870140"/>
      <w:r w:rsidRPr="006D5572">
        <w:rPr>
          <w:lang w:val="en-US"/>
        </w:rPr>
        <w:t xml:space="preserve">RAN2 to </w:t>
      </w:r>
      <w:r>
        <w:rPr>
          <w:lang w:val="en-US"/>
        </w:rPr>
        <w:t>discuss the above listed issues</w:t>
      </w:r>
      <w:bookmarkEnd w:id="25"/>
      <w:bookmarkEnd w:id="26"/>
    </w:p>
    <w:p w14:paraId="704744BD" w14:textId="77777777" w:rsidR="004A03BA" w:rsidRDefault="004A03BA" w:rsidP="004A03BA"/>
    <w:p w14:paraId="15FF5222" w14:textId="77777777" w:rsidR="00C01F33" w:rsidRPr="00CE0424" w:rsidRDefault="00C01F33" w:rsidP="00CE0424">
      <w:pPr>
        <w:pStyle w:val="Heading1"/>
      </w:pPr>
      <w:r w:rsidRPr="00CE0424">
        <w:t>Conclusion</w:t>
      </w:r>
    </w:p>
    <w:p w14:paraId="215451D0" w14:textId="77777777" w:rsidR="0043613A" w:rsidRDefault="0043613A" w:rsidP="0043613A">
      <w:pPr>
        <w:rPr>
          <w:noProof/>
        </w:rPr>
      </w:pPr>
      <w:r>
        <w:t>W</w:t>
      </w:r>
      <w:r w:rsidR="008E065E" w:rsidRPr="00CE0424">
        <w:t xml:space="preserve">e </w:t>
      </w:r>
      <w:r w:rsidR="008E065E">
        <w:t>made the following observations</w:t>
      </w:r>
      <w:r w:rsidR="008E065E" w:rsidRPr="00CE0424">
        <w:t>:</w:t>
      </w:r>
      <w:r w:rsidR="008E065E">
        <w:rPr>
          <w:b/>
          <w:bCs/>
        </w:rPr>
        <w:fldChar w:fldCharType="begin"/>
      </w:r>
      <w:r w:rsidR="008E065E">
        <w:rPr>
          <w:b/>
          <w:bCs/>
        </w:rPr>
        <w:instrText xml:space="preserve"> TOC \f \n \t "Observation;1" </w:instrText>
      </w:r>
      <w:r w:rsidR="008E065E">
        <w:rPr>
          <w:b/>
          <w:bCs/>
        </w:rPr>
        <w:fldChar w:fldCharType="separate"/>
      </w:r>
    </w:p>
    <w:p w14:paraId="3AD36644" w14:textId="77777777" w:rsidR="0043613A" w:rsidRDefault="0043613A">
      <w:pPr>
        <w:pStyle w:val="TOC1"/>
        <w:rPr>
          <w:rFonts w:asciiTheme="minorHAnsi" w:eastAsiaTheme="minorEastAsia" w:hAnsiTheme="minorHAnsi" w:cstheme="minorBidi"/>
          <w:b w:val="0"/>
          <w:sz w:val="22"/>
          <w:lang w:val="fi-FI" w:eastAsia="fi-FI"/>
        </w:rPr>
      </w:pPr>
      <w:r>
        <w:t>Observation 1</w:t>
      </w:r>
      <w:r>
        <w:rPr>
          <w:rFonts w:asciiTheme="minorHAnsi" w:eastAsiaTheme="minorEastAsia" w:hAnsiTheme="minorHAnsi" w:cstheme="minorBidi"/>
          <w:b w:val="0"/>
          <w:sz w:val="22"/>
          <w:lang w:val="fi-FI" w:eastAsia="fi-FI"/>
        </w:rPr>
        <w:tab/>
      </w:r>
      <w:r>
        <w:t>The term mobility refers to cell level mobility when discussed in RAN2.</w:t>
      </w:r>
    </w:p>
    <w:p w14:paraId="5B07000A" w14:textId="77777777" w:rsidR="0043613A" w:rsidRDefault="0043613A">
      <w:pPr>
        <w:pStyle w:val="TOC1"/>
        <w:rPr>
          <w:rFonts w:asciiTheme="minorHAnsi" w:eastAsiaTheme="minorEastAsia" w:hAnsiTheme="minorHAnsi" w:cstheme="minorBidi"/>
          <w:b w:val="0"/>
          <w:sz w:val="22"/>
          <w:lang w:val="fi-FI" w:eastAsia="fi-FI"/>
        </w:rPr>
      </w:pPr>
      <w:r>
        <w:t>Observation 2</w:t>
      </w:r>
      <w:r>
        <w:rPr>
          <w:rFonts w:asciiTheme="minorHAnsi" w:eastAsiaTheme="minorEastAsia" w:hAnsiTheme="minorHAnsi" w:cstheme="minorBidi"/>
          <w:b w:val="0"/>
          <w:sz w:val="22"/>
          <w:lang w:val="fi-FI" w:eastAsia="fi-FI"/>
        </w:rPr>
        <w:tab/>
      </w:r>
      <w:r>
        <w:t>Beam level mobility which is also called beam management is handled by lower layers and thus by RAN1.</w:t>
      </w:r>
    </w:p>
    <w:p w14:paraId="36996875" w14:textId="77777777" w:rsidR="0043613A" w:rsidRDefault="0043613A">
      <w:pPr>
        <w:pStyle w:val="TOC1"/>
        <w:rPr>
          <w:rFonts w:asciiTheme="minorHAnsi" w:eastAsiaTheme="minorEastAsia" w:hAnsiTheme="minorHAnsi" w:cstheme="minorBidi"/>
          <w:b w:val="0"/>
          <w:sz w:val="22"/>
          <w:lang w:val="fi-FI" w:eastAsia="fi-FI"/>
        </w:rPr>
      </w:pPr>
      <w:r>
        <w:t>Observation 3</w:t>
      </w:r>
      <w:r>
        <w:rPr>
          <w:rFonts w:asciiTheme="minorHAnsi" w:eastAsiaTheme="minorEastAsia" w:hAnsiTheme="minorHAnsi" w:cstheme="minorBidi"/>
          <w:b w:val="0"/>
          <w:sz w:val="22"/>
          <w:lang w:val="fi-FI" w:eastAsia="fi-FI"/>
        </w:rPr>
        <w:tab/>
      </w:r>
      <w:r>
        <w:t>The handover procedure for GEO satellite takes more time than in terrestrial case.</w:t>
      </w:r>
    </w:p>
    <w:p w14:paraId="36492EC4" w14:textId="77777777" w:rsidR="0043613A" w:rsidRDefault="0043613A">
      <w:pPr>
        <w:pStyle w:val="TOC1"/>
        <w:rPr>
          <w:rFonts w:asciiTheme="minorHAnsi" w:eastAsiaTheme="minorEastAsia" w:hAnsiTheme="minorHAnsi" w:cstheme="minorBidi"/>
          <w:b w:val="0"/>
          <w:sz w:val="22"/>
          <w:lang w:val="fi-FI" w:eastAsia="fi-FI"/>
        </w:rPr>
      </w:pPr>
      <w:r w:rsidRPr="0092628A">
        <w:t>Observation 4</w:t>
      </w:r>
      <w:r>
        <w:rPr>
          <w:rFonts w:asciiTheme="minorHAnsi" w:eastAsiaTheme="minorEastAsia" w:hAnsiTheme="minorHAnsi" w:cstheme="minorBidi"/>
          <w:b w:val="0"/>
          <w:sz w:val="22"/>
          <w:lang w:val="fi-FI" w:eastAsia="fi-FI"/>
        </w:rPr>
        <w:tab/>
      </w:r>
      <w:r w:rsidRPr="0092628A">
        <w:t>Sufficient cell overlap might help the issue for HO delay</w:t>
      </w:r>
    </w:p>
    <w:p w14:paraId="5B22A5B8" w14:textId="26E7F2A2" w:rsidR="008E065E" w:rsidRDefault="008E065E" w:rsidP="008E065E">
      <w:pPr>
        <w:pStyle w:val="BodyText"/>
        <w:rPr>
          <w:b/>
          <w:bCs/>
        </w:rPr>
      </w:pPr>
      <w:r>
        <w:rPr>
          <w:b/>
          <w:bCs/>
        </w:rPr>
        <w:fldChar w:fldCharType="end"/>
      </w:r>
    </w:p>
    <w:p w14:paraId="3086F6EF" w14:textId="77777777" w:rsidR="0043613A" w:rsidRDefault="0043613A" w:rsidP="008E065E">
      <w:pPr>
        <w:pStyle w:val="BodyText"/>
        <w:rPr>
          <w:noProof/>
        </w:rPr>
      </w:pPr>
      <w:r>
        <w:t>W</w:t>
      </w:r>
      <w:r w:rsidR="008E065E" w:rsidRPr="00CE0424">
        <w:t>e propose the following:</w:t>
      </w:r>
      <w:r w:rsidR="008E065E">
        <w:rPr>
          <w:b/>
          <w:bCs/>
        </w:rPr>
        <w:fldChar w:fldCharType="begin"/>
      </w:r>
      <w:r w:rsidR="008E065E">
        <w:rPr>
          <w:b/>
          <w:bCs/>
        </w:rPr>
        <w:instrText xml:space="preserve"> TOC \f \n \p " " \t "Proposal;1" </w:instrText>
      </w:r>
      <w:r w:rsidR="008E065E">
        <w:rPr>
          <w:b/>
          <w:bCs/>
        </w:rPr>
        <w:fldChar w:fldCharType="separate"/>
      </w:r>
    </w:p>
    <w:p w14:paraId="44BBFDB9" w14:textId="77777777" w:rsidR="0043613A" w:rsidRDefault="0043613A">
      <w:pPr>
        <w:pStyle w:val="TOC1"/>
        <w:rPr>
          <w:rFonts w:asciiTheme="minorHAnsi" w:eastAsiaTheme="minorEastAsia" w:hAnsiTheme="minorHAnsi" w:cstheme="minorBidi"/>
          <w:b w:val="0"/>
          <w:sz w:val="22"/>
          <w:lang w:val="fi-FI" w:eastAsia="fi-FI"/>
        </w:rPr>
      </w:pPr>
      <w:r w:rsidRPr="00CD202A">
        <w:t>Proposal 1</w:t>
      </w:r>
      <w:r>
        <w:rPr>
          <w:rFonts w:asciiTheme="minorHAnsi" w:eastAsiaTheme="minorEastAsia" w:hAnsiTheme="minorHAnsi" w:cstheme="minorBidi"/>
          <w:b w:val="0"/>
          <w:sz w:val="22"/>
          <w:lang w:val="fi-FI" w:eastAsia="fi-FI"/>
        </w:rPr>
        <w:tab/>
      </w:r>
      <w:r w:rsidRPr="00CD202A">
        <w:t>RAN2 to study the delay impact of HO procedure in GEO satellites and identify if any specification impacts are needed</w:t>
      </w:r>
    </w:p>
    <w:p w14:paraId="7B01864F" w14:textId="77777777" w:rsidR="0043613A" w:rsidRDefault="0043613A">
      <w:pPr>
        <w:pStyle w:val="TOC1"/>
        <w:rPr>
          <w:rFonts w:asciiTheme="minorHAnsi" w:eastAsiaTheme="minorEastAsia" w:hAnsiTheme="minorHAnsi" w:cstheme="minorBidi"/>
          <w:b w:val="0"/>
          <w:sz w:val="22"/>
          <w:lang w:val="fi-FI" w:eastAsia="fi-FI"/>
        </w:rPr>
      </w:pPr>
      <w:r w:rsidRPr="00CD202A">
        <w:t>Proposal 2</w:t>
      </w:r>
      <w:r>
        <w:rPr>
          <w:rFonts w:asciiTheme="minorHAnsi" w:eastAsiaTheme="minorEastAsia" w:hAnsiTheme="minorHAnsi" w:cstheme="minorBidi"/>
          <w:b w:val="0"/>
          <w:sz w:val="22"/>
          <w:lang w:val="fi-FI" w:eastAsia="fi-FI"/>
        </w:rPr>
        <w:tab/>
      </w:r>
      <w:r w:rsidRPr="00CD202A">
        <w:t>RAN2 to discuss the above listed issues</w:t>
      </w:r>
    </w:p>
    <w:p w14:paraId="048A7851" w14:textId="77777777" w:rsidR="0043613A" w:rsidRDefault="0043613A">
      <w:pPr>
        <w:pStyle w:val="TOC1"/>
        <w:rPr>
          <w:rFonts w:asciiTheme="minorHAnsi" w:eastAsiaTheme="minorEastAsia" w:hAnsiTheme="minorHAnsi" w:cstheme="minorBidi"/>
          <w:b w:val="0"/>
          <w:sz w:val="22"/>
          <w:lang w:val="fi-FI" w:eastAsia="fi-FI"/>
        </w:rPr>
      </w:pPr>
      <w:r w:rsidRPr="00CD202A">
        <w:t>Proposal 3</w:t>
      </w:r>
      <w:r>
        <w:rPr>
          <w:rFonts w:asciiTheme="minorHAnsi" w:eastAsiaTheme="minorEastAsia" w:hAnsiTheme="minorHAnsi" w:cstheme="minorBidi"/>
          <w:b w:val="0"/>
          <w:sz w:val="22"/>
          <w:lang w:val="fi-FI" w:eastAsia="fi-FI"/>
        </w:rPr>
        <w:tab/>
      </w:r>
      <w:r w:rsidRPr="00CD202A">
        <w:t>RAN2 to discuss the above listed issues</w:t>
      </w:r>
    </w:p>
    <w:p w14:paraId="06ACB49B" w14:textId="2B53F7F6" w:rsidR="008E065E" w:rsidRPr="00CE0424" w:rsidRDefault="008E065E" w:rsidP="008E065E">
      <w:pPr>
        <w:rPr>
          <w:b/>
          <w:bCs/>
        </w:rPr>
      </w:pPr>
      <w:r>
        <w:rPr>
          <w:b/>
          <w:bCs/>
        </w:rPr>
        <w:fldChar w:fldCharType="end"/>
      </w:r>
    </w:p>
    <w:p w14:paraId="55B88DE8" w14:textId="77777777" w:rsidR="00C01F33" w:rsidRPr="00CE0424" w:rsidRDefault="00C01F33" w:rsidP="006E062C"/>
    <w:p w14:paraId="1F6B97A3" w14:textId="77777777" w:rsidR="00B25EA1" w:rsidRPr="00CE0424" w:rsidRDefault="00B25EA1" w:rsidP="00B25EA1">
      <w:pPr>
        <w:pStyle w:val="Heading1"/>
      </w:pPr>
      <w:bookmarkStart w:id="27" w:name="_In-sequence_SDU_delivery"/>
      <w:bookmarkEnd w:id="27"/>
      <w:r w:rsidRPr="00CE0424">
        <w:t>References</w:t>
      </w:r>
    </w:p>
    <w:p w14:paraId="7DA4FD56" w14:textId="77777777" w:rsidR="00B25EA1" w:rsidRDefault="00B25EA1" w:rsidP="00B25EA1">
      <w:pPr>
        <w:pStyle w:val="Reference"/>
      </w:pPr>
      <w:bookmarkStart w:id="28" w:name="_Ref509923152"/>
      <w:bookmarkStart w:id="29" w:name="_Ref505610477"/>
      <w:bookmarkStart w:id="30" w:name="_Ref174151459"/>
      <w:bookmarkStart w:id="31"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28"/>
      <w:r w:rsidRPr="003801E6">
        <w:t>La Jolla, USA, June 2018</w:t>
      </w:r>
    </w:p>
    <w:p w14:paraId="3D97C421" w14:textId="1B62F383" w:rsidR="00B25EA1" w:rsidRDefault="00B25EA1" w:rsidP="00B25EA1">
      <w:pPr>
        <w:pStyle w:val="Reference"/>
      </w:pPr>
      <w:r w:rsidRPr="003248D5">
        <w:t>TR 38.8</w:t>
      </w:r>
      <w:r>
        <w:t>1</w:t>
      </w:r>
      <w:r w:rsidRPr="003248D5">
        <w:t>1</w:t>
      </w:r>
      <w:r w:rsidRPr="000215E9">
        <w:t xml:space="preserve">, </w:t>
      </w:r>
      <w:r w:rsidR="00930A45">
        <w:t xml:space="preserve">Study on New Radio (NR) to support </w:t>
      </w:r>
      <w:proofErr w:type="gramStart"/>
      <w:r w:rsidR="00930A45">
        <w:t>non terrestrial</w:t>
      </w:r>
      <w:proofErr w:type="gramEnd"/>
      <w:r w:rsidR="00930A45">
        <w:t xml:space="preserve"> networks, </w:t>
      </w:r>
      <w:r w:rsidR="00DF2118">
        <w:t>Rel</w:t>
      </w:r>
      <w:r w:rsidR="007E57AF">
        <w:t>ease 15</w:t>
      </w:r>
    </w:p>
    <w:p w14:paraId="024BF172" w14:textId="77777777" w:rsidR="00B25EA1" w:rsidRDefault="00B25EA1" w:rsidP="00B25EA1">
      <w:pPr>
        <w:pStyle w:val="Reference"/>
      </w:pPr>
      <w:bookmarkStart w:id="32" w:name="_Ref510710834"/>
      <w:bookmarkStart w:id="33" w:name="_Ref525843069"/>
      <w:bookmarkEnd w:id="29"/>
      <w:bookmarkEnd w:id="30"/>
      <w:bookmarkEnd w:id="31"/>
      <w:r w:rsidRPr="003248D5">
        <w:t>TR 38.8</w:t>
      </w:r>
      <w:r>
        <w:t>2</w:t>
      </w:r>
      <w:r w:rsidRPr="003248D5">
        <w:t>1</w:t>
      </w:r>
      <w:r w:rsidRPr="000215E9">
        <w:t xml:space="preserve">, </w:t>
      </w:r>
      <w:bookmarkEnd w:id="32"/>
      <w:r>
        <w:t>Solutions</w:t>
      </w:r>
      <w:r w:rsidRPr="00FB25CB">
        <w:t xml:space="preserve"> for NR to support </w:t>
      </w:r>
      <w:proofErr w:type="gramStart"/>
      <w:r w:rsidRPr="00FB25CB">
        <w:t>Non Terrestrial</w:t>
      </w:r>
      <w:proofErr w:type="gramEnd"/>
      <w:r w:rsidRPr="00FB25CB">
        <w:t xml:space="preserve"> Network</w:t>
      </w:r>
      <w:bookmarkEnd w:id="33"/>
    </w:p>
    <w:p w14:paraId="7801EA81"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2FF50" w14:textId="77777777" w:rsidR="00BC269C" w:rsidRDefault="00BC269C">
      <w:r>
        <w:separator/>
      </w:r>
    </w:p>
  </w:endnote>
  <w:endnote w:type="continuationSeparator" w:id="0">
    <w:p w14:paraId="62B81BF1" w14:textId="77777777" w:rsidR="00BC269C" w:rsidRDefault="00BC269C">
      <w:r>
        <w:continuationSeparator/>
      </w:r>
    </w:p>
  </w:endnote>
  <w:endnote w:type="continuationNotice" w:id="1">
    <w:p w14:paraId="53DDBE11" w14:textId="77777777" w:rsidR="00DE0EC8" w:rsidRDefault="00DE0E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F10D1" w14:textId="77777777" w:rsidR="00BC269C" w:rsidRDefault="00BC269C">
      <w:r>
        <w:separator/>
      </w:r>
    </w:p>
  </w:footnote>
  <w:footnote w:type="continuationSeparator" w:id="0">
    <w:p w14:paraId="000FBB0A" w14:textId="77777777" w:rsidR="00BC269C" w:rsidRDefault="00BC269C">
      <w:r>
        <w:continuationSeparator/>
      </w:r>
    </w:p>
  </w:footnote>
  <w:footnote w:type="continuationNotice" w:id="1">
    <w:p w14:paraId="36997BDA" w14:textId="77777777" w:rsidR="00DE0EC8" w:rsidRDefault="00DE0E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7B17CF"/>
    <w:multiLevelType w:val="hybridMultilevel"/>
    <w:tmpl w:val="EA54391E"/>
    <w:lvl w:ilvl="0" w:tplc="E2209D6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0"/>
  </w:num>
  <w:num w:numId="4">
    <w:abstractNumId w:val="11"/>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15"/>
  </w:num>
  <w:num w:numId="17">
    <w:abstractNumId w:val="13"/>
  </w:num>
  <w:num w:numId="18">
    <w:abstractNumId w:val="6"/>
  </w:num>
  <w:num w:numId="19">
    <w:abstractNumId w:val="4"/>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6446"/>
    <w:rsid w:val="00006896"/>
    <w:rsid w:val="000077B1"/>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019E"/>
    <w:rsid w:val="000C165A"/>
    <w:rsid w:val="000C2E19"/>
    <w:rsid w:val="000C6C10"/>
    <w:rsid w:val="000D0D07"/>
    <w:rsid w:val="000D4797"/>
    <w:rsid w:val="000E0527"/>
    <w:rsid w:val="000E08EE"/>
    <w:rsid w:val="000E1E92"/>
    <w:rsid w:val="000F06D6"/>
    <w:rsid w:val="000F0EB1"/>
    <w:rsid w:val="000F1106"/>
    <w:rsid w:val="000F1DAD"/>
    <w:rsid w:val="000F3BE9"/>
    <w:rsid w:val="000F3F6C"/>
    <w:rsid w:val="000F6DF3"/>
    <w:rsid w:val="001005FF"/>
    <w:rsid w:val="00105AB8"/>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08E"/>
    <w:rsid w:val="00137AB5"/>
    <w:rsid w:val="00137F0B"/>
    <w:rsid w:val="00141678"/>
    <w:rsid w:val="00151E23"/>
    <w:rsid w:val="001526E0"/>
    <w:rsid w:val="001551B5"/>
    <w:rsid w:val="001659C1"/>
    <w:rsid w:val="00173A8E"/>
    <w:rsid w:val="00177795"/>
    <w:rsid w:val="00180DF5"/>
    <w:rsid w:val="0018143F"/>
    <w:rsid w:val="00190AC1"/>
    <w:rsid w:val="0019341A"/>
    <w:rsid w:val="001974F4"/>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5F41"/>
    <w:rsid w:val="002069B2"/>
    <w:rsid w:val="00207FA3"/>
    <w:rsid w:val="00213747"/>
    <w:rsid w:val="00213BEA"/>
    <w:rsid w:val="00214DA8"/>
    <w:rsid w:val="00215423"/>
    <w:rsid w:val="002158FA"/>
    <w:rsid w:val="00220600"/>
    <w:rsid w:val="002224DB"/>
    <w:rsid w:val="00223FCB"/>
    <w:rsid w:val="002252C3"/>
    <w:rsid w:val="00225C54"/>
    <w:rsid w:val="00230765"/>
    <w:rsid w:val="002319E4"/>
    <w:rsid w:val="00235632"/>
    <w:rsid w:val="00235872"/>
    <w:rsid w:val="0023772B"/>
    <w:rsid w:val="00241559"/>
    <w:rsid w:val="002435B3"/>
    <w:rsid w:val="002458EB"/>
    <w:rsid w:val="002500C8"/>
    <w:rsid w:val="002538C8"/>
    <w:rsid w:val="0025493B"/>
    <w:rsid w:val="00256492"/>
    <w:rsid w:val="00257543"/>
    <w:rsid w:val="002617E7"/>
    <w:rsid w:val="00264228"/>
    <w:rsid w:val="00264334"/>
    <w:rsid w:val="0026473E"/>
    <w:rsid w:val="00266214"/>
    <w:rsid w:val="0026727A"/>
    <w:rsid w:val="002673B9"/>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A7228"/>
    <w:rsid w:val="002B24D6"/>
    <w:rsid w:val="002C41E6"/>
    <w:rsid w:val="002D071A"/>
    <w:rsid w:val="002D34B2"/>
    <w:rsid w:val="002D6A18"/>
    <w:rsid w:val="002D7637"/>
    <w:rsid w:val="002E020B"/>
    <w:rsid w:val="002E17F2"/>
    <w:rsid w:val="002E6196"/>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3DC"/>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97283"/>
    <w:rsid w:val="003A2223"/>
    <w:rsid w:val="003A2A0F"/>
    <w:rsid w:val="003A45A1"/>
    <w:rsid w:val="003A5B0A"/>
    <w:rsid w:val="003A6BAC"/>
    <w:rsid w:val="003A7EF3"/>
    <w:rsid w:val="003B159C"/>
    <w:rsid w:val="003B369F"/>
    <w:rsid w:val="003B36A3"/>
    <w:rsid w:val="003B460B"/>
    <w:rsid w:val="003B7E33"/>
    <w:rsid w:val="003B7FE5"/>
    <w:rsid w:val="003C11C8"/>
    <w:rsid w:val="003C2702"/>
    <w:rsid w:val="003C6694"/>
    <w:rsid w:val="003C7806"/>
    <w:rsid w:val="003D109F"/>
    <w:rsid w:val="003D2478"/>
    <w:rsid w:val="003D3C45"/>
    <w:rsid w:val="003D5B1F"/>
    <w:rsid w:val="003E15FA"/>
    <w:rsid w:val="003E4BA3"/>
    <w:rsid w:val="003E55E4"/>
    <w:rsid w:val="003E74E3"/>
    <w:rsid w:val="003F05C7"/>
    <w:rsid w:val="003F2CD4"/>
    <w:rsid w:val="003F6BBE"/>
    <w:rsid w:val="004000E8"/>
    <w:rsid w:val="004026E0"/>
    <w:rsid w:val="00402E2B"/>
    <w:rsid w:val="0040512B"/>
    <w:rsid w:val="00405CA5"/>
    <w:rsid w:val="00407CD3"/>
    <w:rsid w:val="00410134"/>
    <w:rsid w:val="00410B72"/>
    <w:rsid w:val="00410F18"/>
    <w:rsid w:val="0041263E"/>
    <w:rsid w:val="00413AAC"/>
    <w:rsid w:val="00421105"/>
    <w:rsid w:val="004242F4"/>
    <w:rsid w:val="00427248"/>
    <w:rsid w:val="0043613A"/>
    <w:rsid w:val="00437447"/>
    <w:rsid w:val="00441A92"/>
    <w:rsid w:val="00441B72"/>
    <w:rsid w:val="0044292F"/>
    <w:rsid w:val="00444F56"/>
    <w:rsid w:val="00446488"/>
    <w:rsid w:val="004517AA"/>
    <w:rsid w:val="00452CAC"/>
    <w:rsid w:val="00457565"/>
    <w:rsid w:val="00457B71"/>
    <w:rsid w:val="004669E2"/>
    <w:rsid w:val="00467D62"/>
    <w:rsid w:val="00470C31"/>
    <w:rsid w:val="004734D0"/>
    <w:rsid w:val="0047556B"/>
    <w:rsid w:val="00477768"/>
    <w:rsid w:val="00480841"/>
    <w:rsid w:val="00492BC5"/>
    <w:rsid w:val="004964F1"/>
    <w:rsid w:val="004A03BA"/>
    <w:rsid w:val="004A16BC"/>
    <w:rsid w:val="004A2B94"/>
    <w:rsid w:val="004B7075"/>
    <w:rsid w:val="004B7C0C"/>
    <w:rsid w:val="004C2DB9"/>
    <w:rsid w:val="004C3898"/>
    <w:rsid w:val="004D36B1"/>
    <w:rsid w:val="004D7EBD"/>
    <w:rsid w:val="004E2680"/>
    <w:rsid w:val="004E28F9"/>
    <w:rsid w:val="004E462E"/>
    <w:rsid w:val="004E56DC"/>
    <w:rsid w:val="004E76F4"/>
    <w:rsid w:val="004F0B4E"/>
    <w:rsid w:val="004F0B6C"/>
    <w:rsid w:val="004F173C"/>
    <w:rsid w:val="004F2078"/>
    <w:rsid w:val="004F4DA3"/>
    <w:rsid w:val="00506557"/>
    <w:rsid w:val="0050677A"/>
    <w:rsid w:val="005108D8"/>
    <w:rsid w:val="005116F9"/>
    <w:rsid w:val="005153A7"/>
    <w:rsid w:val="005202A6"/>
    <w:rsid w:val="005219CF"/>
    <w:rsid w:val="00534B59"/>
    <w:rsid w:val="00536759"/>
    <w:rsid w:val="00537C62"/>
    <w:rsid w:val="005443F0"/>
    <w:rsid w:val="00546970"/>
    <w:rsid w:val="00554E19"/>
    <w:rsid w:val="0056121F"/>
    <w:rsid w:val="0056791D"/>
    <w:rsid w:val="00572505"/>
    <w:rsid w:val="00582809"/>
    <w:rsid w:val="005833E1"/>
    <w:rsid w:val="0058798C"/>
    <w:rsid w:val="005900FA"/>
    <w:rsid w:val="005935A4"/>
    <w:rsid w:val="005948C2"/>
    <w:rsid w:val="00595DCA"/>
    <w:rsid w:val="0059779B"/>
    <w:rsid w:val="005A03F1"/>
    <w:rsid w:val="005A209A"/>
    <w:rsid w:val="005A662D"/>
    <w:rsid w:val="005B35D7"/>
    <w:rsid w:val="005B392A"/>
    <w:rsid w:val="005B3AA3"/>
    <w:rsid w:val="005B591A"/>
    <w:rsid w:val="005B6F83"/>
    <w:rsid w:val="005C0796"/>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09A4"/>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3C7D"/>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2DB3"/>
    <w:rsid w:val="006C5EC9"/>
    <w:rsid w:val="006C6059"/>
    <w:rsid w:val="006C7522"/>
    <w:rsid w:val="006D6F08"/>
    <w:rsid w:val="006E062C"/>
    <w:rsid w:val="006E28B7"/>
    <w:rsid w:val="006E3310"/>
    <w:rsid w:val="006E3BC9"/>
    <w:rsid w:val="006E4E39"/>
    <w:rsid w:val="006E565E"/>
    <w:rsid w:val="006E673D"/>
    <w:rsid w:val="006E7D3B"/>
    <w:rsid w:val="006F1B70"/>
    <w:rsid w:val="006F341D"/>
    <w:rsid w:val="006F3CDE"/>
    <w:rsid w:val="006F58D4"/>
    <w:rsid w:val="006F5D21"/>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3D0"/>
    <w:rsid w:val="007925EA"/>
    <w:rsid w:val="00792CE9"/>
    <w:rsid w:val="00793CD8"/>
    <w:rsid w:val="00795C92"/>
    <w:rsid w:val="00796231"/>
    <w:rsid w:val="007A0E22"/>
    <w:rsid w:val="007A1CB3"/>
    <w:rsid w:val="007A306F"/>
    <w:rsid w:val="007A43A6"/>
    <w:rsid w:val="007A5497"/>
    <w:rsid w:val="007A58A6"/>
    <w:rsid w:val="007B3D2D"/>
    <w:rsid w:val="007B50AE"/>
    <w:rsid w:val="007B51DF"/>
    <w:rsid w:val="007B587F"/>
    <w:rsid w:val="007C05DD"/>
    <w:rsid w:val="007C3D18"/>
    <w:rsid w:val="007C60BF"/>
    <w:rsid w:val="007C6A07"/>
    <w:rsid w:val="007C75A1"/>
    <w:rsid w:val="007C77A5"/>
    <w:rsid w:val="007D04E5"/>
    <w:rsid w:val="007D5901"/>
    <w:rsid w:val="007D7526"/>
    <w:rsid w:val="007E4610"/>
    <w:rsid w:val="007E4715"/>
    <w:rsid w:val="007E505B"/>
    <w:rsid w:val="007E57AF"/>
    <w:rsid w:val="007E7091"/>
    <w:rsid w:val="007F2687"/>
    <w:rsid w:val="00803FAE"/>
    <w:rsid w:val="0080605F"/>
    <w:rsid w:val="00806EC2"/>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0592"/>
    <w:rsid w:val="008A21FF"/>
    <w:rsid w:val="008A2CE2"/>
    <w:rsid w:val="008A30AC"/>
    <w:rsid w:val="008A44B8"/>
    <w:rsid w:val="008A51A8"/>
    <w:rsid w:val="008A54C7"/>
    <w:rsid w:val="008A77D8"/>
    <w:rsid w:val="008B0483"/>
    <w:rsid w:val="008B120C"/>
    <w:rsid w:val="008B1471"/>
    <w:rsid w:val="008B51A0"/>
    <w:rsid w:val="008B592A"/>
    <w:rsid w:val="008B7B5C"/>
    <w:rsid w:val="008B7B6E"/>
    <w:rsid w:val="008C0C99"/>
    <w:rsid w:val="008C2017"/>
    <w:rsid w:val="008C4958"/>
    <w:rsid w:val="008C4BAA"/>
    <w:rsid w:val="008C52C0"/>
    <w:rsid w:val="008C6AE8"/>
    <w:rsid w:val="008C7573"/>
    <w:rsid w:val="008D34F1"/>
    <w:rsid w:val="008D39D8"/>
    <w:rsid w:val="008D6D1A"/>
    <w:rsid w:val="008E065E"/>
    <w:rsid w:val="008E0927"/>
    <w:rsid w:val="008E1909"/>
    <w:rsid w:val="008E5968"/>
    <w:rsid w:val="008F1EAB"/>
    <w:rsid w:val="008F33DC"/>
    <w:rsid w:val="008F4650"/>
    <w:rsid w:val="008F477F"/>
    <w:rsid w:val="008F51D4"/>
    <w:rsid w:val="008F7B0C"/>
    <w:rsid w:val="00900E32"/>
    <w:rsid w:val="00902350"/>
    <w:rsid w:val="0090336B"/>
    <w:rsid w:val="009053AA"/>
    <w:rsid w:val="00906939"/>
    <w:rsid w:val="00910B7D"/>
    <w:rsid w:val="00910D01"/>
    <w:rsid w:val="00911850"/>
    <w:rsid w:val="00911DFB"/>
    <w:rsid w:val="009139D9"/>
    <w:rsid w:val="00914AD8"/>
    <w:rsid w:val="00914DB8"/>
    <w:rsid w:val="00916079"/>
    <w:rsid w:val="00917CE9"/>
    <w:rsid w:val="00920BF2"/>
    <w:rsid w:val="00922010"/>
    <w:rsid w:val="00930A45"/>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B1E"/>
    <w:rsid w:val="00985253"/>
    <w:rsid w:val="009853B3"/>
    <w:rsid w:val="00986D45"/>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374D"/>
    <w:rsid w:val="00A56049"/>
    <w:rsid w:val="00A6147E"/>
    <w:rsid w:val="00A61499"/>
    <w:rsid w:val="00A62A77"/>
    <w:rsid w:val="00A63483"/>
    <w:rsid w:val="00A63A9A"/>
    <w:rsid w:val="00A64D49"/>
    <w:rsid w:val="00A657D7"/>
    <w:rsid w:val="00A660AC"/>
    <w:rsid w:val="00A66F55"/>
    <w:rsid w:val="00A67E6C"/>
    <w:rsid w:val="00A71B99"/>
    <w:rsid w:val="00A739D0"/>
    <w:rsid w:val="00A761D4"/>
    <w:rsid w:val="00A77EC4"/>
    <w:rsid w:val="00A92879"/>
    <w:rsid w:val="00A9442A"/>
    <w:rsid w:val="00AA016F"/>
    <w:rsid w:val="00AA0832"/>
    <w:rsid w:val="00AA1ED6"/>
    <w:rsid w:val="00AA51D6"/>
    <w:rsid w:val="00AB0BC8"/>
    <w:rsid w:val="00AB11CA"/>
    <w:rsid w:val="00AB14D9"/>
    <w:rsid w:val="00AB3B1F"/>
    <w:rsid w:val="00AB4AB8"/>
    <w:rsid w:val="00AB540D"/>
    <w:rsid w:val="00AB5E75"/>
    <w:rsid w:val="00AB655E"/>
    <w:rsid w:val="00AC007F"/>
    <w:rsid w:val="00AC2ECD"/>
    <w:rsid w:val="00AC3119"/>
    <w:rsid w:val="00AC3782"/>
    <w:rsid w:val="00AC49FB"/>
    <w:rsid w:val="00AC5A10"/>
    <w:rsid w:val="00AD0AA3"/>
    <w:rsid w:val="00AD3F94"/>
    <w:rsid w:val="00AD4A5A"/>
    <w:rsid w:val="00AD578B"/>
    <w:rsid w:val="00AE27AC"/>
    <w:rsid w:val="00AE3743"/>
    <w:rsid w:val="00AE39C1"/>
    <w:rsid w:val="00AE40E0"/>
    <w:rsid w:val="00AE4DBA"/>
    <w:rsid w:val="00AE4F07"/>
    <w:rsid w:val="00AF1C5D"/>
    <w:rsid w:val="00AF42D7"/>
    <w:rsid w:val="00B006FE"/>
    <w:rsid w:val="00B007CB"/>
    <w:rsid w:val="00B02AA9"/>
    <w:rsid w:val="00B02FA3"/>
    <w:rsid w:val="00B05084"/>
    <w:rsid w:val="00B07558"/>
    <w:rsid w:val="00B157F9"/>
    <w:rsid w:val="00B20256"/>
    <w:rsid w:val="00B20D09"/>
    <w:rsid w:val="00B25EA1"/>
    <w:rsid w:val="00B2763F"/>
    <w:rsid w:val="00B27AAC"/>
    <w:rsid w:val="00B30929"/>
    <w:rsid w:val="00B372AA"/>
    <w:rsid w:val="00B40445"/>
    <w:rsid w:val="00B41888"/>
    <w:rsid w:val="00B45A52"/>
    <w:rsid w:val="00B46175"/>
    <w:rsid w:val="00B530F6"/>
    <w:rsid w:val="00B54E50"/>
    <w:rsid w:val="00B556DD"/>
    <w:rsid w:val="00B6188F"/>
    <w:rsid w:val="00B664C7"/>
    <w:rsid w:val="00B739F6"/>
    <w:rsid w:val="00B81A6C"/>
    <w:rsid w:val="00B840E6"/>
    <w:rsid w:val="00B85DE5"/>
    <w:rsid w:val="00B90F73"/>
    <w:rsid w:val="00B91B36"/>
    <w:rsid w:val="00B93B59"/>
    <w:rsid w:val="00B9406A"/>
    <w:rsid w:val="00BA2280"/>
    <w:rsid w:val="00BA2A08"/>
    <w:rsid w:val="00BA56D2"/>
    <w:rsid w:val="00BA690B"/>
    <w:rsid w:val="00BA76E0"/>
    <w:rsid w:val="00BB1872"/>
    <w:rsid w:val="00BB2A25"/>
    <w:rsid w:val="00BB51E9"/>
    <w:rsid w:val="00BC0FDC"/>
    <w:rsid w:val="00BC269C"/>
    <w:rsid w:val="00BC3053"/>
    <w:rsid w:val="00BC4D2E"/>
    <w:rsid w:val="00BD266D"/>
    <w:rsid w:val="00BD48AC"/>
    <w:rsid w:val="00BD5F1A"/>
    <w:rsid w:val="00BE1234"/>
    <w:rsid w:val="00BE2FA6"/>
    <w:rsid w:val="00BE333F"/>
    <w:rsid w:val="00BE7406"/>
    <w:rsid w:val="00BE7603"/>
    <w:rsid w:val="00BF0C80"/>
    <w:rsid w:val="00BF3279"/>
    <w:rsid w:val="00BF6FEE"/>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070A"/>
    <w:rsid w:val="00C5440F"/>
    <w:rsid w:val="00C54995"/>
    <w:rsid w:val="00C54D41"/>
    <w:rsid w:val="00C57BFE"/>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902"/>
    <w:rsid w:val="00CB1F63"/>
    <w:rsid w:val="00CB7170"/>
    <w:rsid w:val="00CC040E"/>
    <w:rsid w:val="00CC111F"/>
    <w:rsid w:val="00CC2011"/>
    <w:rsid w:val="00CC3EA0"/>
    <w:rsid w:val="00CC3ECB"/>
    <w:rsid w:val="00CC7B45"/>
    <w:rsid w:val="00CD1188"/>
    <w:rsid w:val="00CD2ED1"/>
    <w:rsid w:val="00CD337B"/>
    <w:rsid w:val="00CE0424"/>
    <w:rsid w:val="00CE7561"/>
    <w:rsid w:val="00CF1354"/>
    <w:rsid w:val="00CF3B1F"/>
    <w:rsid w:val="00CF3BF6"/>
    <w:rsid w:val="00CF625B"/>
    <w:rsid w:val="00CF687E"/>
    <w:rsid w:val="00D00D3A"/>
    <w:rsid w:val="00D0349B"/>
    <w:rsid w:val="00D10249"/>
    <w:rsid w:val="00D115C3"/>
    <w:rsid w:val="00D11897"/>
    <w:rsid w:val="00D13135"/>
    <w:rsid w:val="00D13E4E"/>
    <w:rsid w:val="00D233B0"/>
    <w:rsid w:val="00D239A7"/>
    <w:rsid w:val="00D23F47"/>
    <w:rsid w:val="00D31C5E"/>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09F3"/>
    <w:rsid w:val="00D77B1D"/>
    <w:rsid w:val="00D8021F"/>
    <w:rsid w:val="00D80383"/>
    <w:rsid w:val="00D823C6"/>
    <w:rsid w:val="00D86CA3"/>
    <w:rsid w:val="00D871CE"/>
    <w:rsid w:val="00D9196D"/>
    <w:rsid w:val="00D92982"/>
    <w:rsid w:val="00D9683D"/>
    <w:rsid w:val="00DA305E"/>
    <w:rsid w:val="00DA5417"/>
    <w:rsid w:val="00DA56E8"/>
    <w:rsid w:val="00DB0A9F"/>
    <w:rsid w:val="00DB377D"/>
    <w:rsid w:val="00DC2D36"/>
    <w:rsid w:val="00DC53EF"/>
    <w:rsid w:val="00DD6A81"/>
    <w:rsid w:val="00DE02E3"/>
    <w:rsid w:val="00DE0EC8"/>
    <w:rsid w:val="00DE5608"/>
    <w:rsid w:val="00DE58D0"/>
    <w:rsid w:val="00DE654F"/>
    <w:rsid w:val="00DF0B6E"/>
    <w:rsid w:val="00DF15E0"/>
    <w:rsid w:val="00DF2118"/>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955"/>
    <w:rsid w:val="00E63838"/>
    <w:rsid w:val="00E64434"/>
    <w:rsid w:val="00E67C51"/>
    <w:rsid w:val="00E72EFC"/>
    <w:rsid w:val="00E7429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A7B"/>
    <w:rsid w:val="00EC4207"/>
    <w:rsid w:val="00EC427A"/>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9784B"/>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153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709F3"/>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D709F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D709F3"/>
    <w:rPr>
      <w:rFonts w:ascii="Arial" w:hAnsi="Arial"/>
      <w:spacing w:val="2"/>
      <w:lang w:val="en-GB" w:eastAsia="zh-CN"/>
    </w:rPr>
  </w:style>
  <w:style w:type="character" w:customStyle="1" w:styleId="B2Char">
    <w:name w:val="B2 Char"/>
    <w:link w:val="B2"/>
    <w:qFormat/>
    <w:rsid w:val="00D709F3"/>
    <w:rPr>
      <w:rFonts w:ascii="Arial" w:hAnsi="Arial"/>
      <w:lang w:val="en-GB"/>
    </w:rPr>
  </w:style>
  <w:style w:type="paragraph" w:styleId="NormalWeb">
    <w:name w:val="Normal (Web)"/>
    <w:basedOn w:val="Normal"/>
    <w:uiPriority w:val="99"/>
    <w:unhideWhenUsed/>
    <w:rsid w:val="00D709F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2549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Y:\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5NUHHDQN7SK2-1476151046-35163</_dlc_DocId>
    <_dlc_DocIdUrl xmlns="f166a696-7b5b-4ccd-9f0c-ffde0cceec81">
      <Url>https://ericsson.sharepoint.com/sites/star/_layouts/15/DocIdRedir.aspx?ID=5NUHHDQN7SK2-1476151046-35163</Url>
      <Description>5NUHHDQN7SK2-1476151046-35163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openxmlformats.org/package/2006/metadata/core-properties"/>
    <ds:schemaRef ds:uri="http://purl.org/dc/elements/1.1/"/>
    <ds:schemaRef ds:uri="611109f9-ed58-4498-a270-1fb2086a5321"/>
    <ds:schemaRef ds:uri="http://purl.org/dc/dcmitype/"/>
    <ds:schemaRef ds:uri="http://schemas.microsoft.com/sharepoint/v4"/>
    <ds:schemaRef ds:uri="http://schemas.microsoft.com/office/2006/documentManagement/types"/>
    <ds:schemaRef ds:uri="http://schemas.microsoft.com/office/infopath/2007/PartnerControls"/>
    <ds:schemaRef ds:uri="http://www.w3.org/XML/1998/namespace"/>
    <ds:schemaRef ds:uri="f166a696-7b5b-4ccd-9f0c-ffde0cceec81"/>
    <ds:schemaRef ds:uri="d8762117-8292-4133-b1c7-eab5c6487cfd"/>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6756B4CA-733C-4FEA-BE7F-C1BD4EB067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7471D46-3E75-428B-A1CC-FBBA2A7B9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4</Pages>
  <Words>901</Words>
  <Characters>7302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Helka-Liina</cp:lastModifiedBy>
  <cp:revision>2</cp:revision>
  <cp:lastPrinted>2008-01-31T16:09:00Z</cp:lastPrinted>
  <dcterms:created xsi:type="dcterms:W3CDTF">2018-11-01T19:33:00Z</dcterms:created>
  <dcterms:modified xsi:type="dcterms:W3CDTF">2018-11-01T19:33:00Z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c4bf7668-d4de-406b-be24-7abc5c464bd1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